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032" w:rsidRPr="005A4AD5" w:rsidRDefault="00E00032" w:rsidP="00A2331B">
      <w:pPr>
        <w:pStyle w:val="ListParagraph"/>
        <w:numPr>
          <w:ilvl w:val="0"/>
          <w:numId w:val="1"/>
        </w:numPr>
        <w:ind w:left="426"/>
        <w:rPr>
          <w:color w:val="002060"/>
          <w:sz w:val="22"/>
          <w:szCs w:val="22"/>
        </w:rPr>
      </w:pPr>
      <w:bookmarkStart w:id="0" w:name="_GoBack"/>
      <w:bookmarkEnd w:id="0"/>
      <w:r w:rsidRPr="005A4AD5">
        <w:rPr>
          <w:color w:val="002060"/>
          <w:sz w:val="22"/>
          <w:szCs w:val="22"/>
        </w:rPr>
        <w:t>Are current design standards for battery installations suitable for the design of large battery banks for marine propulsion (I think the theory is that they are not), what direction is the industry going?</w:t>
      </w:r>
    </w:p>
    <w:p w:rsidR="0050177A" w:rsidRPr="005A4AD5" w:rsidRDefault="004621BD" w:rsidP="0050177A">
      <w:pPr>
        <w:pStyle w:val="ListParagraph"/>
        <w:numPr>
          <w:ilvl w:val="1"/>
          <w:numId w:val="1"/>
        </w:numPr>
        <w:rPr>
          <w:color w:val="002060"/>
          <w:sz w:val="22"/>
          <w:szCs w:val="22"/>
        </w:rPr>
      </w:pPr>
      <w:r w:rsidRPr="005A4AD5">
        <w:rPr>
          <w:color w:val="002060"/>
          <w:sz w:val="22"/>
          <w:szCs w:val="22"/>
        </w:rPr>
        <w:t xml:space="preserve">Module design is the key aspect to consider the maritime environment, along with high performance </w:t>
      </w:r>
      <w:r w:rsidR="00371D78" w:rsidRPr="005A4AD5">
        <w:rPr>
          <w:color w:val="002060"/>
          <w:sz w:val="22"/>
          <w:szCs w:val="22"/>
        </w:rPr>
        <w:t>requirements</w:t>
      </w:r>
      <w:r w:rsidRPr="005A4AD5">
        <w:rPr>
          <w:color w:val="002060"/>
          <w:sz w:val="22"/>
          <w:szCs w:val="22"/>
        </w:rPr>
        <w:t xml:space="preserve"> of cells. Standard testing regimes for maritime systems are required and sufficiently cover most </w:t>
      </w:r>
      <w:r w:rsidR="00D354EE" w:rsidRPr="005A4AD5">
        <w:rPr>
          <w:color w:val="002060"/>
          <w:sz w:val="22"/>
          <w:szCs w:val="22"/>
        </w:rPr>
        <w:t xml:space="preserve">maritime specific </w:t>
      </w:r>
      <w:r w:rsidRPr="005A4AD5">
        <w:rPr>
          <w:color w:val="002060"/>
          <w:sz w:val="22"/>
          <w:szCs w:val="22"/>
        </w:rPr>
        <w:t>issues (</w:t>
      </w:r>
      <w:r w:rsidR="00D354EE" w:rsidRPr="005A4AD5">
        <w:rPr>
          <w:color w:val="002060"/>
          <w:sz w:val="22"/>
          <w:szCs w:val="22"/>
        </w:rPr>
        <w:t>T</w:t>
      </w:r>
      <w:r w:rsidRPr="005A4AD5">
        <w:rPr>
          <w:color w:val="002060"/>
          <w:sz w:val="22"/>
          <w:szCs w:val="22"/>
        </w:rPr>
        <w:t xml:space="preserve">ype </w:t>
      </w:r>
      <w:r w:rsidR="00D354EE" w:rsidRPr="005A4AD5">
        <w:rPr>
          <w:color w:val="002060"/>
          <w:sz w:val="22"/>
          <w:szCs w:val="22"/>
        </w:rPr>
        <w:t>A</w:t>
      </w:r>
      <w:r w:rsidRPr="005A4AD5">
        <w:rPr>
          <w:color w:val="002060"/>
          <w:sz w:val="22"/>
          <w:szCs w:val="22"/>
        </w:rPr>
        <w:t>pproval</w:t>
      </w:r>
      <w:r w:rsidR="00D354EE" w:rsidRPr="005A4AD5">
        <w:rPr>
          <w:color w:val="002060"/>
          <w:sz w:val="22"/>
          <w:szCs w:val="22"/>
        </w:rPr>
        <w:t xml:space="preserve"> </w:t>
      </w:r>
      <w:hyperlink r:id="rId9" w:anchor="search=type%20approval%20cp%200418" w:history="1">
        <w:r w:rsidR="00D354EE" w:rsidRPr="005A4AD5">
          <w:rPr>
            <w:rStyle w:val="Hyperlink"/>
            <w:sz w:val="22"/>
            <w:szCs w:val="22"/>
          </w:rPr>
          <w:t>DNVGL-CP-0418</w:t>
        </w:r>
      </w:hyperlink>
      <w:r w:rsidRPr="005A4AD5">
        <w:rPr>
          <w:color w:val="002060"/>
          <w:sz w:val="22"/>
          <w:szCs w:val="22"/>
        </w:rPr>
        <w:t>).</w:t>
      </w:r>
      <w:r w:rsidR="00D354EE" w:rsidRPr="005A4AD5">
        <w:rPr>
          <w:rStyle w:val="FootnoteReference"/>
          <w:color w:val="002060"/>
          <w:sz w:val="22"/>
          <w:szCs w:val="22"/>
        </w:rPr>
        <w:footnoteReference w:id="1"/>
      </w:r>
      <w:r w:rsidR="00D354EE" w:rsidRPr="005A4AD5">
        <w:rPr>
          <w:color w:val="002060"/>
          <w:sz w:val="22"/>
          <w:szCs w:val="22"/>
        </w:rPr>
        <w:t xml:space="preserve"> </w:t>
      </w:r>
      <w:r w:rsidR="0050177A" w:rsidRPr="005A4AD5">
        <w:rPr>
          <w:color w:val="002060"/>
          <w:sz w:val="22"/>
          <w:szCs w:val="22"/>
        </w:rPr>
        <w:t>The table below summarizes typical tests required.</w:t>
      </w:r>
    </w:p>
    <w:tbl>
      <w:tblPr>
        <w:tblW w:w="0" w:type="auto"/>
        <w:tblLook w:val="04A0" w:firstRow="1" w:lastRow="0" w:firstColumn="1" w:lastColumn="0" w:noHBand="0" w:noVBand="1"/>
      </w:tblPr>
      <w:tblGrid>
        <w:gridCol w:w="4799"/>
        <w:gridCol w:w="4777"/>
      </w:tblGrid>
      <w:tr w:rsidR="0050177A" w:rsidRPr="005A4AD5" w:rsidTr="007F2642">
        <w:tc>
          <w:tcPr>
            <w:tcW w:w="5031" w:type="dxa"/>
            <w:tcBorders>
              <w:bottom w:val="nil"/>
            </w:tcBorders>
          </w:tcPr>
          <w:p w:rsidR="0050177A" w:rsidRPr="005A4AD5" w:rsidRDefault="0050177A" w:rsidP="007F2642">
            <w:pPr>
              <w:pStyle w:val="BodyText"/>
              <w:rPr>
                <w:rFonts w:ascii="Times New Roman" w:hAnsi="Times New Roman" w:cs="Times New Roman"/>
                <w:b/>
                <w:sz w:val="22"/>
                <w:szCs w:val="22"/>
                <w:lang w:val="en-US" w:eastAsia="en-US"/>
              </w:rPr>
            </w:pPr>
            <w:r w:rsidRPr="005A4AD5">
              <w:rPr>
                <w:rFonts w:ascii="Times New Roman" w:hAnsi="Times New Roman" w:cs="Times New Roman"/>
                <w:b/>
                <w:sz w:val="22"/>
                <w:szCs w:val="22"/>
                <w:lang w:val="en-US" w:eastAsia="en-US"/>
              </w:rPr>
              <w:t>Examples of Cell Tests</w:t>
            </w:r>
          </w:p>
        </w:tc>
        <w:tc>
          <w:tcPr>
            <w:tcW w:w="5031" w:type="dxa"/>
            <w:tcBorders>
              <w:bottom w:val="nil"/>
            </w:tcBorders>
          </w:tcPr>
          <w:p w:rsidR="0050177A" w:rsidRPr="005A4AD5" w:rsidRDefault="0050177A" w:rsidP="007F2642">
            <w:pPr>
              <w:pStyle w:val="BodyText"/>
              <w:rPr>
                <w:rFonts w:ascii="Times New Roman" w:hAnsi="Times New Roman" w:cs="Times New Roman"/>
                <w:b/>
                <w:sz w:val="22"/>
                <w:szCs w:val="22"/>
                <w:lang w:val="en-US" w:eastAsia="en-US"/>
              </w:rPr>
            </w:pPr>
            <w:r w:rsidRPr="005A4AD5">
              <w:rPr>
                <w:rFonts w:ascii="Times New Roman" w:hAnsi="Times New Roman" w:cs="Times New Roman"/>
                <w:b/>
                <w:sz w:val="22"/>
                <w:szCs w:val="22"/>
                <w:lang w:val="en-US" w:eastAsia="en-US"/>
              </w:rPr>
              <w:t>Examples of System Tests</w:t>
            </w:r>
          </w:p>
        </w:tc>
      </w:tr>
      <w:tr w:rsidR="0050177A" w:rsidRPr="005A4AD5" w:rsidTr="007F2642">
        <w:tc>
          <w:tcPr>
            <w:tcW w:w="5031" w:type="dxa"/>
            <w:tcBorders>
              <w:top w:val="nil"/>
              <w:bottom w:val="nil"/>
            </w:tcBorders>
          </w:tcPr>
          <w:p w:rsidR="0050177A" w:rsidRPr="005A4AD5" w:rsidRDefault="0050177A" w:rsidP="007F2642">
            <w:pPr>
              <w:pStyle w:val="BodyText"/>
              <w:rPr>
                <w:rFonts w:ascii="Times New Roman" w:hAnsi="Times New Roman" w:cs="Times New Roman"/>
                <w:sz w:val="22"/>
                <w:szCs w:val="22"/>
                <w:lang w:val="en-US" w:eastAsia="en-US"/>
              </w:rPr>
            </w:pPr>
            <w:r w:rsidRPr="005A4AD5">
              <w:rPr>
                <w:rFonts w:ascii="Times New Roman" w:hAnsi="Times New Roman" w:cs="Times New Roman"/>
                <w:sz w:val="22"/>
                <w:szCs w:val="22"/>
                <w:lang w:val="en-US" w:eastAsia="en-US"/>
              </w:rPr>
              <w:t>External short circuit</w:t>
            </w:r>
          </w:p>
        </w:tc>
        <w:tc>
          <w:tcPr>
            <w:tcW w:w="5031" w:type="dxa"/>
            <w:tcBorders>
              <w:top w:val="nil"/>
              <w:bottom w:val="nil"/>
            </w:tcBorders>
          </w:tcPr>
          <w:p w:rsidR="0050177A" w:rsidRPr="005A4AD5" w:rsidRDefault="0050177A" w:rsidP="007F2642">
            <w:pPr>
              <w:pStyle w:val="BodyText"/>
              <w:rPr>
                <w:rFonts w:ascii="Times New Roman" w:hAnsi="Times New Roman" w:cs="Times New Roman"/>
                <w:sz w:val="22"/>
                <w:szCs w:val="22"/>
                <w:lang w:val="en-US" w:eastAsia="en-US"/>
              </w:rPr>
            </w:pPr>
            <w:r w:rsidRPr="005A4AD5">
              <w:rPr>
                <w:rFonts w:ascii="Times New Roman" w:hAnsi="Times New Roman" w:cs="Times New Roman"/>
                <w:sz w:val="22"/>
                <w:szCs w:val="22"/>
                <w:lang w:val="en-US" w:eastAsia="en-US"/>
              </w:rPr>
              <w:t>Propagation / internal thermal event</w:t>
            </w:r>
          </w:p>
        </w:tc>
      </w:tr>
      <w:tr w:rsidR="0050177A" w:rsidRPr="005A4AD5" w:rsidTr="007F2642">
        <w:tc>
          <w:tcPr>
            <w:tcW w:w="5031" w:type="dxa"/>
            <w:tcBorders>
              <w:top w:val="nil"/>
              <w:bottom w:val="nil"/>
            </w:tcBorders>
          </w:tcPr>
          <w:p w:rsidR="0050177A" w:rsidRPr="005A4AD5" w:rsidRDefault="0050177A" w:rsidP="007F2642">
            <w:pPr>
              <w:pStyle w:val="BodyText"/>
              <w:rPr>
                <w:rFonts w:ascii="Times New Roman" w:hAnsi="Times New Roman" w:cs="Times New Roman"/>
                <w:sz w:val="22"/>
                <w:szCs w:val="22"/>
                <w:lang w:val="en-US" w:eastAsia="en-US"/>
              </w:rPr>
            </w:pPr>
            <w:r w:rsidRPr="005A4AD5">
              <w:rPr>
                <w:rFonts w:ascii="Times New Roman" w:hAnsi="Times New Roman" w:cs="Times New Roman"/>
                <w:sz w:val="22"/>
                <w:szCs w:val="22"/>
                <w:lang w:val="en-US" w:eastAsia="en-US"/>
              </w:rPr>
              <w:t>Impact</w:t>
            </w:r>
          </w:p>
        </w:tc>
        <w:tc>
          <w:tcPr>
            <w:tcW w:w="5031" w:type="dxa"/>
            <w:tcBorders>
              <w:top w:val="nil"/>
              <w:bottom w:val="nil"/>
            </w:tcBorders>
          </w:tcPr>
          <w:p w:rsidR="0050177A" w:rsidRPr="005A4AD5" w:rsidRDefault="0050177A" w:rsidP="007F2642">
            <w:pPr>
              <w:pStyle w:val="BodyText"/>
              <w:rPr>
                <w:rFonts w:ascii="Times New Roman" w:hAnsi="Times New Roman" w:cs="Times New Roman"/>
                <w:sz w:val="22"/>
                <w:szCs w:val="22"/>
                <w:lang w:val="en-US" w:eastAsia="en-US"/>
              </w:rPr>
            </w:pPr>
            <w:r w:rsidRPr="005A4AD5">
              <w:rPr>
                <w:rFonts w:ascii="Times New Roman" w:hAnsi="Times New Roman" w:cs="Times New Roman"/>
                <w:sz w:val="22"/>
                <w:szCs w:val="22"/>
                <w:lang w:val="en-US" w:eastAsia="en-US"/>
              </w:rPr>
              <w:t>Overcharge with voltage</w:t>
            </w:r>
          </w:p>
        </w:tc>
      </w:tr>
      <w:tr w:rsidR="0050177A" w:rsidRPr="005A4AD5" w:rsidTr="007F2642">
        <w:tc>
          <w:tcPr>
            <w:tcW w:w="5031" w:type="dxa"/>
            <w:tcBorders>
              <w:top w:val="nil"/>
              <w:bottom w:val="nil"/>
            </w:tcBorders>
          </w:tcPr>
          <w:p w:rsidR="0050177A" w:rsidRPr="005A4AD5" w:rsidRDefault="0050177A" w:rsidP="007F2642">
            <w:pPr>
              <w:pStyle w:val="BodyText"/>
              <w:rPr>
                <w:rFonts w:ascii="Times New Roman" w:hAnsi="Times New Roman" w:cs="Times New Roman"/>
                <w:sz w:val="22"/>
                <w:szCs w:val="22"/>
                <w:lang w:val="en-US" w:eastAsia="en-US"/>
              </w:rPr>
            </w:pPr>
            <w:r w:rsidRPr="005A4AD5">
              <w:rPr>
                <w:rFonts w:ascii="Times New Roman" w:hAnsi="Times New Roman" w:cs="Times New Roman"/>
                <w:sz w:val="22"/>
                <w:szCs w:val="22"/>
                <w:lang w:val="en-US" w:eastAsia="en-US"/>
              </w:rPr>
              <w:t>Thermal abuse</w:t>
            </w:r>
          </w:p>
        </w:tc>
        <w:tc>
          <w:tcPr>
            <w:tcW w:w="5031" w:type="dxa"/>
            <w:tcBorders>
              <w:top w:val="nil"/>
              <w:bottom w:val="nil"/>
            </w:tcBorders>
          </w:tcPr>
          <w:p w:rsidR="0050177A" w:rsidRPr="005A4AD5" w:rsidRDefault="0050177A" w:rsidP="007F2642">
            <w:pPr>
              <w:pStyle w:val="BodyText"/>
              <w:rPr>
                <w:rFonts w:ascii="Times New Roman" w:hAnsi="Times New Roman" w:cs="Times New Roman"/>
                <w:sz w:val="22"/>
                <w:szCs w:val="22"/>
                <w:lang w:val="en-US" w:eastAsia="en-US"/>
              </w:rPr>
            </w:pPr>
            <w:r w:rsidRPr="005A4AD5">
              <w:rPr>
                <w:rFonts w:ascii="Times New Roman" w:hAnsi="Times New Roman" w:cs="Times New Roman"/>
                <w:sz w:val="22"/>
                <w:szCs w:val="22"/>
                <w:lang w:val="en-US" w:eastAsia="en-US"/>
              </w:rPr>
              <w:t>Overcharge with current</w:t>
            </w:r>
          </w:p>
        </w:tc>
      </w:tr>
      <w:tr w:rsidR="0050177A" w:rsidRPr="005A4AD5" w:rsidTr="007F2642">
        <w:tc>
          <w:tcPr>
            <w:tcW w:w="5031" w:type="dxa"/>
            <w:tcBorders>
              <w:top w:val="nil"/>
              <w:bottom w:val="nil"/>
            </w:tcBorders>
          </w:tcPr>
          <w:p w:rsidR="0050177A" w:rsidRPr="005A4AD5" w:rsidRDefault="0050177A" w:rsidP="007F2642">
            <w:pPr>
              <w:pStyle w:val="BodyText"/>
              <w:rPr>
                <w:rFonts w:ascii="Times New Roman" w:hAnsi="Times New Roman" w:cs="Times New Roman"/>
                <w:sz w:val="22"/>
                <w:szCs w:val="22"/>
                <w:lang w:val="en-US" w:eastAsia="en-US"/>
              </w:rPr>
            </w:pPr>
            <w:r w:rsidRPr="005A4AD5">
              <w:rPr>
                <w:rFonts w:ascii="Times New Roman" w:hAnsi="Times New Roman" w:cs="Times New Roman"/>
                <w:sz w:val="22"/>
                <w:szCs w:val="22"/>
                <w:lang w:val="en-US" w:eastAsia="en-US"/>
              </w:rPr>
              <w:t>Overcharge</w:t>
            </w:r>
          </w:p>
        </w:tc>
        <w:tc>
          <w:tcPr>
            <w:tcW w:w="5031" w:type="dxa"/>
            <w:tcBorders>
              <w:top w:val="nil"/>
              <w:bottom w:val="nil"/>
            </w:tcBorders>
          </w:tcPr>
          <w:p w:rsidR="0050177A" w:rsidRPr="005A4AD5" w:rsidRDefault="0050177A" w:rsidP="007F2642">
            <w:pPr>
              <w:pStyle w:val="BodyText"/>
              <w:rPr>
                <w:rFonts w:ascii="Times New Roman" w:hAnsi="Times New Roman" w:cs="Times New Roman"/>
                <w:sz w:val="22"/>
                <w:szCs w:val="22"/>
                <w:lang w:val="en-US" w:eastAsia="en-US"/>
              </w:rPr>
            </w:pPr>
            <w:r w:rsidRPr="005A4AD5">
              <w:rPr>
                <w:rFonts w:ascii="Times New Roman" w:hAnsi="Times New Roman" w:cs="Times New Roman"/>
                <w:sz w:val="22"/>
                <w:szCs w:val="22"/>
                <w:lang w:val="en-US" w:eastAsia="en-US"/>
              </w:rPr>
              <w:t>Overheating control</w:t>
            </w:r>
          </w:p>
        </w:tc>
      </w:tr>
      <w:tr w:rsidR="0050177A" w:rsidRPr="005A4AD5" w:rsidTr="007F2642">
        <w:tc>
          <w:tcPr>
            <w:tcW w:w="5031" w:type="dxa"/>
            <w:tcBorders>
              <w:top w:val="nil"/>
              <w:bottom w:val="single" w:sz="4" w:space="0" w:color="auto"/>
            </w:tcBorders>
          </w:tcPr>
          <w:p w:rsidR="0050177A" w:rsidRPr="005A4AD5" w:rsidRDefault="0050177A" w:rsidP="007F2642">
            <w:pPr>
              <w:pStyle w:val="BodyText"/>
              <w:rPr>
                <w:rFonts w:ascii="Times New Roman" w:hAnsi="Times New Roman" w:cs="Times New Roman"/>
                <w:sz w:val="22"/>
                <w:szCs w:val="22"/>
                <w:lang w:val="en-US" w:eastAsia="en-US"/>
              </w:rPr>
            </w:pPr>
            <w:r w:rsidRPr="005A4AD5">
              <w:rPr>
                <w:rFonts w:ascii="Times New Roman" w:hAnsi="Times New Roman" w:cs="Times New Roman"/>
                <w:sz w:val="22"/>
                <w:szCs w:val="22"/>
                <w:lang w:val="en-US" w:eastAsia="en-US"/>
              </w:rPr>
              <w:t>Forced Discharge</w:t>
            </w:r>
          </w:p>
        </w:tc>
        <w:tc>
          <w:tcPr>
            <w:tcW w:w="5031" w:type="dxa"/>
            <w:tcBorders>
              <w:top w:val="nil"/>
              <w:bottom w:val="nil"/>
            </w:tcBorders>
          </w:tcPr>
          <w:p w:rsidR="0050177A" w:rsidRPr="005A4AD5" w:rsidRDefault="0050177A" w:rsidP="007F2642">
            <w:pPr>
              <w:pStyle w:val="BodyText"/>
              <w:rPr>
                <w:rFonts w:ascii="Times New Roman" w:hAnsi="Times New Roman" w:cs="Times New Roman"/>
                <w:sz w:val="22"/>
                <w:szCs w:val="22"/>
                <w:lang w:val="en-US" w:eastAsia="en-US"/>
              </w:rPr>
            </w:pPr>
            <w:r w:rsidRPr="005A4AD5">
              <w:rPr>
                <w:rFonts w:ascii="Times New Roman" w:hAnsi="Times New Roman" w:cs="Times New Roman"/>
                <w:sz w:val="22"/>
                <w:szCs w:val="22"/>
                <w:lang w:val="en-US" w:eastAsia="en-US"/>
              </w:rPr>
              <w:t>Sensor failures</w:t>
            </w:r>
          </w:p>
        </w:tc>
      </w:tr>
      <w:tr w:rsidR="0050177A" w:rsidRPr="005A4AD5" w:rsidTr="007F2642">
        <w:tc>
          <w:tcPr>
            <w:tcW w:w="5031" w:type="dxa"/>
            <w:tcBorders>
              <w:bottom w:val="nil"/>
            </w:tcBorders>
          </w:tcPr>
          <w:p w:rsidR="0050177A" w:rsidRPr="005A4AD5" w:rsidRDefault="0050177A" w:rsidP="007F2642">
            <w:pPr>
              <w:pStyle w:val="BodyText"/>
              <w:rPr>
                <w:rFonts w:ascii="Times New Roman" w:hAnsi="Times New Roman" w:cs="Times New Roman"/>
                <w:b/>
                <w:sz w:val="22"/>
                <w:szCs w:val="22"/>
                <w:lang w:val="en-US" w:eastAsia="en-US"/>
              </w:rPr>
            </w:pPr>
            <w:r w:rsidRPr="005A4AD5">
              <w:rPr>
                <w:rFonts w:ascii="Times New Roman" w:hAnsi="Times New Roman" w:cs="Times New Roman"/>
                <w:b/>
                <w:sz w:val="22"/>
                <w:szCs w:val="22"/>
                <w:lang w:val="en-US" w:eastAsia="en-US"/>
              </w:rPr>
              <w:t>Examples of Environmental Tests</w:t>
            </w:r>
          </w:p>
        </w:tc>
        <w:tc>
          <w:tcPr>
            <w:tcW w:w="5031" w:type="dxa"/>
            <w:tcBorders>
              <w:top w:val="nil"/>
              <w:bottom w:val="nil"/>
            </w:tcBorders>
          </w:tcPr>
          <w:p w:rsidR="0050177A" w:rsidRPr="005A4AD5" w:rsidRDefault="0050177A" w:rsidP="007F2642">
            <w:pPr>
              <w:pStyle w:val="BodyText"/>
              <w:rPr>
                <w:rFonts w:ascii="Times New Roman" w:hAnsi="Times New Roman" w:cs="Times New Roman"/>
                <w:sz w:val="22"/>
                <w:szCs w:val="22"/>
                <w:lang w:val="en-US" w:eastAsia="en-US"/>
              </w:rPr>
            </w:pPr>
            <w:r w:rsidRPr="005A4AD5">
              <w:rPr>
                <w:rFonts w:ascii="Times New Roman" w:hAnsi="Times New Roman" w:cs="Times New Roman"/>
                <w:sz w:val="22"/>
                <w:szCs w:val="22"/>
                <w:lang w:val="en-US" w:eastAsia="en-US"/>
              </w:rPr>
              <w:t>Cell balancing</w:t>
            </w:r>
          </w:p>
        </w:tc>
      </w:tr>
      <w:tr w:rsidR="0050177A" w:rsidRPr="005A4AD5" w:rsidTr="007F2642">
        <w:tc>
          <w:tcPr>
            <w:tcW w:w="5031" w:type="dxa"/>
            <w:tcBorders>
              <w:top w:val="nil"/>
              <w:bottom w:val="nil"/>
            </w:tcBorders>
          </w:tcPr>
          <w:p w:rsidR="0050177A" w:rsidRPr="005A4AD5" w:rsidRDefault="0050177A" w:rsidP="007F2642">
            <w:pPr>
              <w:pStyle w:val="BodyText"/>
              <w:rPr>
                <w:rFonts w:ascii="Times New Roman" w:hAnsi="Times New Roman" w:cs="Times New Roman"/>
                <w:sz w:val="22"/>
                <w:szCs w:val="22"/>
                <w:lang w:val="en-US" w:eastAsia="en-US"/>
              </w:rPr>
            </w:pPr>
            <w:r w:rsidRPr="005A4AD5">
              <w:rPr>
                <w:rFonts w:ascii="Times New Roman" w:hAnsi="Times New Roman" w:cs="Times New Roman"/>
                <w:sz w:val="22"/>
                <w:szCs w:val="22"/>
                <w:lang w:val="en-US" w:eastAsia="en-US"/>
              </w:rPr>
              <w:t>Vibration</w:t>
            </w:r>
          </w:p>
        </w:tc>
        <w:tc>
          <w:tcPr>
            <w:tcW w:w="5031" w:type="dxa"/>
            <w:tcBorders>
              <w:top w:val="nil"/>
              <w:bottom w:val="nil"/>
            </w:tcBorders>
          </w:tcPr>
          <w:p w:rsidR="0050177A" w:rsidRPr="005A4AD5" w:rsidRDefault="0050177A" w:rsidP="007F2642">
            <w:pPr>
              <w:pStyle w:val="BodyText"/>
              <w:rPr>
                <w:rFonts w:ascii="Times New Roman" w:hAnsi="Times New Roman" w:cs="Times New Roman"/>
                <w:sz w:val="22"/>
                <w:szCs w:val="22"/>
                <w:lang w:val="en-US" w:eastAsia="en-US"/>
              </w:rPr>
            </w:pPr>
            <w:r w:rsidRPr="005A4AD5">
              <w:rPr>
                <w:rFonts w:ascii="Times New Roman" w:hAnsi="Times New Roman" w:cs="Times New Roman"/>
                <w:sz w:val="22"/>
                <w:szCs w:val="22"/>
                <w:lang w:val="en-US" w:eastAsia="en-US"/>
              </w:rPr>
              <w:t>SOC validation</w:t>
            </w:r>
          </w:p>
        </w:tc>
      </w:tr>
      <w:tr w:rsidR="0050177A" w:rsidRPr="005A4AD5" w:rsidTr="007F2642">
        <w:tc>
          <w:tcPr>
            <w:tcW w:w="5031" w:type="dxa"/>
            <w:tcBorders>
              <w:top w:val="nil"/>
              <w:bottom w:val="nil"/>
            </w:tcBorders>
          </w:tcPr>
          <w:p w:rsidR="0050177A" w:rsidRPr="005A4AD5" w:rsidRDefault="0050177A" w:rsidP="007F2642">
            <w:pPr>
              <w:pStyle w:val="BodyText"/>
              <w:rPr>
                <w:rFonts w:ascii="Times New Roman" w:hAnsi="Times New Roman" w:cs="Times New Roman"/>
                <w:sz w:val="22"/>
                <w:szCs w:val="22"/>
                <w:lang w:val="en-US" w:eastAsia="en-US"/>
              </w:rPr>
            </w:pPr>
            <w:r w:rsidRPr="005A4AD5">
              <w:rPr>
                <w:rFonts w:ascii="Times New Roman" w:hAnsi="Times New Roman" w:cs="Times New Roman"/>
                <w:sz w:val="22"/>
                <w:szCs w:val="22"/>
                <w:lang w:val="en-US" w:eastAsia="en-US"/>
              </w:rPr>
              <w:t>Dry Heat</w:t>
            </w:r>
          </w:p>
        </w:tc>
        <w:tc>
          <w:tcPr>
            <w:tcW w:w="5031" w:type="dxa"/>
            <w:tcBorders>
              <w:top w:val="nil"/>
              <w:bottom w:val="nil"/>
            </w:tcBorders>
          </w:tcPr>
          <w:p w:rsidR="0050177A" w:rsidRPr="005A4AD5" w:rsidRDefault="0050177A" w:rsidP="007F2642">
            <w:pPr>
              <w:pStyle w:val="BodyText"/>
              <w:rPr>
                <w:rFonts w:ascii="Times New Roman" w:hAnsi="Times New Roman" w:cs="Times New Roman"/>
                <w:sz w:val="22"/>
                <w:szCs w:val="22"/>
                <w:lang w:val="en-US" w:eastAsia="en-US"/>
              </w:rPr>
            </w:pPr>
            <w:r w:rsidRPr="005A4AD5">
              <w:rPr>
                <w:rFonts w:ascii="Times New Roman" w:hAnsi="Times New Roman" w:cs="Times New Roman"/>
                <w:sz w:val="22"/>
                <w:szCs w:val="22"/>
                <w:lang w:val="en-US" w:eastAsia="en-US"/>
              </w:rPr>
              <w:t>Capacity validation</w:t>
            </w:r>
          </w:p>
        </w:tc>
      </w:tr>
      <w:tr w:rsidR="0050177A" w:rsidRPr="005A4AD5" w:rsidTr="007F2642">
        <w:tc>
          <w:tcPr>
            <w:tcW w:w="5031" w:type="dxa"/>
            <w:tcBorders>
              <w:top w:val="nil"/>
              <w:bottom w:val="nil"/>
            </w:tcBorders>
          </w:tcPr>
          <w:p w:rsidR="0050177A" w:rsidRPr="005A4AD5" w:rsidRDefault="0050177A" w:rsidP="007F2642">
            <w:pPr>
              <w:pStyle w:val="BodyText"/>
              <w:rPr>
                <w:rFonts w:ascii="Times New Roman" w:hAnsi="Times New Roman" w:cs="Times New Roman"/>
                <w:sz w:val="22"/>
                <w:szCs w:val="22"/>
                <w:lang w:val="en-US" w:eastAsia="en-US"/>
              </w:rPr>
            </w:pPr>
            <w:r w:rsidRPr="005A4AD5">
              <w:rPr>
                <w:rFonts w:ascii="Times New Roman" w:hAnsi="Times New Roman" w:cs="Times New Roman"/>
                <w:sz w:val="22"/>
                <w:szCs w:val="22"/>
                <w:lang w:val="en-US" w:eastAsia="en-US"/>
              </w:rPr>
              <w:t>Damp Heat</w:t>
            </w:r>
          </w:p>
        </w:tc>
        <w:tc>
          <w:tcPr>
            <w:tcW w:w="5031" w:type="dxa"/>
            <w:tcBorders>
              <w:top w:val="nil"/>
              <w:bottom w:val="nil"/>
            </w:tcBorders>
          </w:tcPr>
          <w:p w:rsidR="0050177A" w:rsidRPr="005A4AD5" w:rsidRDefault="0050177A" w:rsidP="007F2642">
            <w:pPr>
              <w:pStyle w:val="BodyText"/>
              <w:rPr>
                <w:rFonts w:ascii="Times New Roman" w:hAnsi="Times New Roman" w:cs="Times New Roman"/>
                <w:sz w:val="22"/>
                <w:szCs w:val="22"/>
                <w:lang w:val="en-US" w:eastAsia="en-US"/>
              </w:rPr>
            </w:pPr>
            <w:r w:rsidRPr="005A4AD5">
              <w:rPr>
                <w:rFonts w:ascii="Times New Roman" w:hAnsi="Times New Roman" w:cs="Times New Roman"/>
                <w:sz w:val="22"/>
                <w:szCs w:val="22"/>
                <w:lang w:val="en-US" w:eastAsia="en-US"/>
              </w:rPr>
              <w:t>Safety function test</w:t>
            </w:r>
          </w:p>
        </w:tc>
      </w:tr>
      <w:tr w:rsidR="0050177A" w:rsidRPr="005A4AD5" w:rsidTr="007F2642">
        <w:tc>
          <w:tcPr>
            <w:tcW w:w="5031" w:type="dxa"/>
            <w:tcBorders>
              <w:top w:val="nil"/>
              <w:bottom w:val="nil"/>
            </w:tcBorders>
          </w:tcPr>
          <w:p w:rsidR="0050177A" w:rsidRPr="005A4AD5" w:rsidRDefault="0050177A" w:rsidP="007F2642">
            <w:pPr>
              <w:pStyle w:val="BodyText"/>
              <w:rPr>
                <w:rFonts w:ascii="Times New Roman" w:hAnsi="Times New Roman" w:cs="Times New Roman"/>
                <w:sz w:val="22"/>
                <w:szCs w:val="22"/>
                <w:lang w:val="en-US" w:eastAsia="en-US"/>
              </w:rPr>
            </w:pPr>
            <w:r w:rsidRPr="005A4AD5">
              <w:rPr>
                <w:rFonts w:ascii="Times New Roman" w:hAnsi="Times New Roman" w:cs="Times New Roman"/>
                <w:sz w:val="22"/>
                <w:szCs w:val="22"/>
                <w:lang w:val="en-US" w:eastAsia="en-US"/>
              </w:rPr>
              <w:t>Cold</w:t>
            </w:r>
          </w:p>
        </w:tc>
        <w:tc>
          <w:tcPr>
            <w:tcW w:w="5031" w:type="dxa"/>
            <w:tcBorders>
              <w:top w:val="nil"/>
              <w:bottom w:val="nil"/>
            </w:tcBorders>
          </w:tcPr>
          <w:p w:rsidR="0050177A" w:rsidRPr="005A4AD5" w:rsidRDefault="0050177A" w:rsidP="007F2642">
            <w:pPr>
              <w:pStyle w:val="BodyText"/>
              <w:rPr>
                <w:rFonts w:ascii="Times New Roman" w:hAnsi="Times New Roman" w:cs="Times New Roman"/>
                <w:sz w:val="22"/>
                <w:szCs w:val="22"/>
                <w:lang w:val="en-US" w:eastAsia="en-US"/>
              </w:rPr>
            </w:pPr>
            <w:r w:rsidRPr="005A4AD5">
              <w:rPr>
                <w:rFonts w:ascii="Times New Roman" w:hAnsi="Times New Roman" w:cs="Times New Roman"/>
                <w:sz w:val="22"/>
                <w:szCs w:val="22"/>
                <w:lang w:val="en-US" w:eastAsia="en-US"/>
              </w:rPr>
              <w:t>Dielectric strength (High Voltage test)</w:t>
            </w:r>
          </w:p>
        </w:tc>
      </w:tr>
      <w:tr w:rsidR="0050177A" w:rsidRPr="005A4AD5" w:rsidTr="007F2642">
        <w:tc>
          <w:tcPr>
            <w:tcW w:w="5031" w:type="dxa"/>
            <w:tcBorders>
              <w:top w:val="nil"/>
              <w:bottom w:val="nil"/>
            </w:tcBorders>
          </w:tcPr>
          <w:p w:rsidR="0050177A" w:rsidRPr="005A4AD5" w:rsidRDefault="0050177A" w:rsidP="007F2642">
            <w:pPr>
              <w:pStyle w:val="BodyText"/>
              <w:rPr>
                <w:rFonts w:ascii="Times New Roman" w:hAnsi="Times New Roman" w:cs="Times New Roman"/>
                <w:sz w:val="22"/>
                <w:szCs w:val="22"/>
                <w:lang w:val="en-US" w:eastAsia="en-US"/>
              </w:rPr>
            </w:pPr>
            <w:r w:rsidRPr="005A4AD5">
              <w:rPr>
                <w:rFonts w:ascii="Times New Roman" w:hAnsi="Times New Roman" w:cs="Times New Roman"/>
                <w:sz w:val="22"/>
                <w:szCs w:val="22"/>
                <w:lang w:val="en-US" w:eastAsia="en-US"/>
              </w:rPr>
              <w:t>Corrosion</w:t>
            </w:r>
          </w:p>
        </w:tc>
        <w:tc>
          <w:tcPr>
            <w:tcW w:w="5031" w:type="dxa"/>
            <w:tcBorders>
              <w:top w:val="nil"/>
              <w:bottom w:val="nil"/>
            </w:tcBorders>
          </w:tcPr>
          <w:p w:rsidR="0050177A" w:rsidRPr="005A4AD5" w:rsidRDefault="0050177A" w:rsidP="007F2642">
            <w:pPr>
              <w:pStyle w:val="BodyText"/>
              <w:rPr>
                <w:rFonts w:ascii="Times New Roman" w:hAnsi="Times New Roman" w:cs="Times New Roman"/>
                <w:sz w:val="22"/>
                <w:szCs w:val="22"/>
                <w:lang w:val="en-US" w:eastAsia="en-US"/>
              </w:rPr>
            </w:pPr>
            <w:r w:rsidRPr="005A4AD5">
              <w:rPr>
                <w:rFonts w:ascii="Times New Roman" w:hAnsi="Times New Roman" w:cs="Times New Roman"/>
                <w:sz w:val="22"/>
                <w:szCs w:val="22"/>
                <w:lang w:val="en-US" w:eastAsia="en-US"/>
              </w:rPr>
              <w:t>Insulation resistance</w:t>
            </w:r>
          </w:p>
        </w:tc>
      </w:tr>
      <w:tr w:rsidR="0050177A" w:rsidRPr="005A4AD5" w:rsidTr="007F2642">
        <w:tc>
          <w:tcPr>
            <w:tcW w:w="5031" w:type="dxa"/>
            <w:tcBorders>
              <w:top w:val="nil"/>
              <w:bottom w:val="nil"/>
            </w:tcBorders>
          </w:tcPr>
          <w:p w:rsidR="0050177A" w:rsidRPr="005A4AD5" w:rsidRDefault="0050177A" w:rsidP="007F2642">
            <w:pPr>
              <w:pStyle w:val="BodyText"/>
              <w:rPr>
                <w:rFonts w:ascii="Times New Roman" w:hAnsi="Times New Roman" w:cs="Times New Roman"/>
                <w:sz w:val="22"/>
                <w:szCs w:val="22"/>
                <w:lang w:val="en-US" w:eastAsia="en-US"/>
              </w:rPr>
            </w:pPr>
            <w:r w:rsidRPr="005A4AD5">
              <w:rPr>
                <w:rFonts w:ascii="Times New Roman" w:hAnsi="Times New Roman" w:cs="Times New Roman"/>
                <w:sz w:val="22"/>
                <w:szCs w:val="22"/>
                <w:lang w:val="en-US" w:eastAsia="en-US"/>
              </w:rPr>
              <w:t>Flame retardant</w:t>
            </w:r>
          </w:p>
        </w:tc>
        <w:tc>
          <w:tcPr>
            <w:tcW w:w="5031" w:type="dxa"/>
            <w:tcBorders>
              <w:top w:val="nil"/>
              <w:bottom w:val="nil"/>
            </w:tcBorders>
          </w:tcPr>
          <w:p w:rsidR="0050177A" w:rsidRPr="005A4AD5" w:rsidRDefault="0050177A" w:rsidP="007F2642">
            <w:pPr>
              <w:pStyle w:val="BodyText"/>
              <w:rPr>
                <w:rFonts w:ascii="Times New Roman" w:hAnsi="Times New Roman" w:cs="Times New Roman"/>
                <w:sz w:val="22"/>
                <w:szCs w:val="22"/>
                <w:lang w:val="en-US" w:eastAsia="en-US"/>
              </w:rPr>
            </w:pPr>
            <w:r w:rsidRPr="005A4AD5">
              <w:rPr>
                <w:rFonts w:ascii="Times New Roman" w:hAnsi="Times New Roman" w:cs="Times New Roman"/>
                <w:sz w:val="22"/>
                <w:szCs w:val="22"/>
                <w:lang w:val="en-US" w:eastAsia="en-US"/>
              </w:rPr>
              <w:t>Pressure test of cooling pipes</w:t>
            </w:r>
          </w:p>
        </w:tc>
      </w:tr>
      <w:tr w:rsidR="0050177A" w:rsidRPr="005A4AD5" w:rsidTr="007F2642">
        <w:tc>
          <w:tcPr>
            <w:tcW w:w="5031" w:type="dxa"/>
            <w:tcBorders>
              <w:top w:val="nil"/>
            </w:tcBorders>
          </w:tcPr>
          <w:p w:rsidR="0050177A" w:rsidRPr="005A4AD5" w:rsidRDefault="0050177A" w:rsidP="007F2642">
            <w:pPr>
              <w:pStyle w:val="BodyText"/>
              <w:rPr>
                <w:rFonts w:ascii="Times New Roman" w:hAnsi="Times New Roman" w:cs="Times New Roman"/>
                <w:sz w:val="22"/>
                <w:szCs w:val="22"/>
                <w:lang w:val="en-US" w:eastAsia="en-US"/>
              </w:rPr>
            </w:pPr>
            <w:r w:rsidRPr="005A4AD5">
              <w:rPr>
                <w:rFonts w:ascii="Times New Roman" w:hAnsi="Times New Roman" w:cs="Times New Roman"/>
                <w:sz w:val="22"/>
                <w:szCs w:val="22"/>
                <w:lang w:val="en-US" w:eastAsia="en-US"/>
              </w:rPr>
              <w:t>EMC</w:t>
            </w:r>
          </w:p>
        </w:tc>
        <w:tc>
          <w:tcPr>
            <w:tcW w:w="5031" w:type="dxa"/>
            <w:tcBorders>
              <w:top w:val="nil"/>
            </w:tcBorders>
          </w:tcPr>
          <w:p w:rsidR="0050177A" w:rsidRPr="005A4AD5" w:rsidRDefault="0050177A" w:rsidP="007F2642">
            <w:pPr>
              <w:pStyle w:val="BodyText"/>
              <w:keepNext/>
              <w:rPr>
                <w:rFonts w:ascii="Times New Roman" w:hAnsi="Times New Roman" w:cs="Times New Roman"/>
                <w:sz w:val="22"/>
                <w:szCs w:val="22"/>
                <w:lang w:val="en-US" w:eastAsia="en-US"/>
              </w:rPr>
            </w:pPr>
          </w:p>
        </w:tc>
      </w:tr>
    </w:tbl>
    <w:p w:rsidR="0050177A" w:rsidRPr="005A4AD5" w:rsidRDefault="0050177A" w:rsidP="0050177A">
      <w:pPr>
        <w:pStyle w:val="ListParagraph"/>
        <w:ind w:left="2160"/>
        <w:rPr>
          <w:color w:val="002060"/>
          <w:sz w:val="22"/>
          <w:szCs w:val="22"/>
        </w:rPr>
      </w:pPr>
    </w:p>
    <w:p w:rsidR="004621BD" w:rsidRPr="005A4AD5" w:rsidRDefault="004621BD" w:rsidP="00A2331B">
      <w:pPr>
        <w:pStyle w:val="ListParagraph"/>
        <w:numPr>
          <w:ilvl w:val="1"/>
          <w:numId w:val="1"/>
        </w:numPr>
        <w:rPr>
          <w:color w:val="002060"/>
          <w:sz w:val="22"/>
          <w:szCs w:val="22"/>
        </w:rPr>
      </w:pPr>
      <w:r w:rsidRPr="005A4AD5">
        <w:rPr>
          <w:color w:val="002060"/>
          <w:sz w:val="22"/>
          <w:szCs w:val="22"/>
        </w:rPr>
        <w:t>Rack designs that are becoming common in stationary industry are similar to those used in maritime</w:t>
      </w:r>
      <w:r w:rsidR="00D354EE" w:rsidRPr="005A4AD5">
        <w:rPr>
          <w:color w:val="002060"/>
          <w:sz w:val="22"/>
          <w:szCs w:val="22"/>
        </w:rPr>
        <w:t xml:space="preserve"> and are regarded as sufficient</w:t>
      </w:r>
      <w:r w:rsidRPr="005A4AD5">
        <w:rPr>
          <w:color w:val="002060"/>
          <w:sz w:val="22"/>
          <w:szCs w:val="22"/>
        </w:rPr>
        <w:t>.</w:t>
      </w:r>
    </w:p>
    <w:p w:rsidR="00A2331B" w:rsidRPr="005A4AD5" w:rsidRDefault="004621BD" w:rsidP="00A2331B">
      <w:pPr>
        <w:pStyle w:val="ListParagraph"/>
        <w:numPr>
          <w:ilvl w:val="1"/>
          <w:numId w:val="1"/>
        </w:numPr>
        <w:rPr>
          <w:color w:val="002060"/>
          <w:sz w:val="22"/>
          <w:szCs w:val="22"/>
        </w:rPr>
      </w:pPr>
      <w:r w:rsidRPr="005A4AD5">
        <w:rPr>
          <w:color w:val="002060"/>
          <w:sz w:val="22"/>
          <w:szCs w:val="22"/>
        </w:rPr>
        <w:t>Key aspects requiring attention in maritime environment, beyond the above, are safety event handling</w:t>
      </w:r>
      <w:r w:rsidR="0050177A" w:rsidRPr="005A4AD5">
        <w:rPr>
          <w:color w:val="002060"/>
          <w:sz w:val="22"/>
          <w:szCs w:val="22"/>
        </w:rPr>
        <w:t xml:space="preserve"> due to the confined space</w:t>
      </w:r>
      <w:r w:rsidRPr="005A4AD5">
        <w:rPr>
          <w:color w:val="002060"/>
          <w:sz w:val="22"/>
          <w:szCs w:val="22"/>
        </w:rPr>
        <w:t xml:space="preserve">. This includes module design to protect against propagation and handling of battery </w:t>
      </w:r>
      <w:proofErr w:type="spellStart"/>
      <w:r w:rsidRPr="005A4AD5">
        <w:rPr>
          <w:color w:val="002060"/>
          <w:sz w:val="22"/>
          <w:szCs w:val="22"/>
        </w:rPr>
        <w:t>offgas</w:t>
      </w:r>
      <w:proofErr w:type="spellEnd"/>
      <w:r w:rsidRPr="005A4AD5">
        <w:rPr>
          <w:color w:val="002060"/>
          <w:sz w:val="22"/>
          <w:szCs w:val="22"/>
        </w:rPr>
        <w:t xml:space="preserve">. </w:t>
      </w:r>
    </w:p>
    <w:p w:rsidR="00E00032" w:rsidRPr="005A4AD5" w:rsidRDefault="00E00032" w:rsidP="00A2331B">
      <w:pPr>
        <w:pStyle w:val="ListParagraph"/>
        <w:numPr>
          <w:ilvl w:val="0"/>
          <w:numId w:val="1"/>
        </w:numPr>
        <w:ind w:left="426"/>
        <w:rPr>
          <w:color w:val="002060"/>
          <w:sz w:val="22"/>
          <w:szCs w:val="22"/>
        </w:rPr>
      </w:pPr>
      <w:r w:rsidRPr="005A4AD5">
        <w:rPr>
          <w:color w:val="002060"/>
          <w:sz w:val="22"/>
          <w:szCs w:val="22"/>
        </w:rPr>
        <w:t>Is information on physical dimensions versus power available?</w:t>
      </w:r>
    </w:p>
    <w:p w:rsidR="00A2331B" w:rsidRPr="005A4AD5" w:rsidRDefault="00A2331B" w:rsidP="00A2331B">
      <w:pPr>
        <w:pStyle w:val="ListParagraph"/>
        <w:numPr>
          <w:ilvl w:val="1"/>
          <w:numId w:val="1"/>
        </w:numPr>
        <w:rPr>
          <w:color w:val="002060"/>
          <w:sz w:val="22"/>
          <w:szCs w:val="22"/>
        </w:rPr>
      </w:pPr>
      <w:r w:rsidRPr="005A4AD5">
        <w:rPr>
          <w:color w:val="002060"/>
          <w:sz w:val="22"/>
          <w:szCs w:val="22"/>
        </w:rPr>
        <w:t>Physical dimensions are most directly dictated by energy.</w:t>
      </w:r>
    </w:p>
    <w:p w:rsidR="004621BD" w:rsidRPr="005A4AD5" w:rsidRDefault="004621BD" w:rsidP="004621BD">
      <w:pPr>
        <w:pStyle w:val="ListParagraph"/>
        <w:numPr>
          <w:ilvl w:val="1"/>
          <w:numId w:val="1"/>
        </w:numPr>
        <w:rPr>
          <w:color w:val="002060"/>
          <w:sz w:val="22"/>
          <w:szCs w:val="22"/>
        </w:rPr>
      </w:pPr>
      <w:r w:rsidRPr="005A4AD5">
        <w:rPr>
          <w:color w:val="002060"/>
          <w:sz w:val="22"/>
          <w:szCs w:val="22"/>
        </w:rPr>
        <w:t xml:space="preserve">Examples from </w:t>
      </w:r>
      <w:proofErr w:type="spellStart"/>
      <w:r w:rsidRPr="005A4AD5">
        <w:rPr>
          <w:color w:val="002060"/>
          <w:sz w:val="22"/>
          <w:szCs w:val="22"/>
        </w:rPr>
        <w:t>Corvus</w:t>
      </w:r>
      <w:proofErr w:type="spellEnd"/>
      <w:r w:rsidRPr="005A4AD5">
        <w:rPr>
          <w:color w:val="002060"/>
          <w:sz w:val="22"/>
          <w:szCs w:val="22"/>
        </w:rPr>
        <w:t xml:space="preserve"> website (only vendor </w:t>
      </w:r>
      <w:r w:rsidR="00D354EE" w:rsidRPr="005A4AD5">
        <w:rPr>
          <w:color w:val="002060"/>
          <w:sz w:val="22"/>
          <w:szCs w:val="22"/>
        </w:rPr>
        <w:t xml:space="preserve">with publicly available </w:t>
      </w:r>
      <w:r w:rsidRPr="005A4AD5">
        <w:rPr>
          <w:color w:val="002060"/>
          <w:sz w:val="22"/>
          <w:szCs w:val="22"/>
        </w:rPr>
        <w:t>figures</w:t>
      </w:r>
      <w:r w:rsidR="00304F3E" w:rsidRPr="005A4AD5">
        <w:rPr>
          <w:color w:val="002060"/>
          <w:sz w:val="22"/>
          <w:szCs w:val="22"/>
        </w:rPr>
        <w:t xml:space="preserve"> for system</w:t>
      </w:r>
      <w:r w:rsidRPr="005A4AD5">
        <w:rPr>
          <w:color w:val="002060"/>
          <w:sz w:val="22"/>
          <w:szCs w:val="22"/>
        </w:rPr>
        <w:t>):</w:t>
      </w:r>
    </w:p>
    <w:p w:rsidR="004621BD" w:rsidRPr="005A4AD5" w:rsidRDefault="004621BD" w:rsidP="004621BD">
      <w:pPr>
        <w:pStyle w:val="ListParagraph"/>
        <w:numPr>
          <w:ilvl w:val="2"/>
          <w:numId w:val="1"/>
        </w:numPr>
        <w:rPr>
          <w:color w:val="002060"/>
          <w:sz w:val="22"/>
          <w:szCs w:val="22"/>
        </w:rPr>
      </w:pPr>
      <w:r w:rsidRPr="005A4AD5">
        <w:rPr>
          <w:color w:val="002060"/>
          <w:sz w:val="22"/>
          <w:szCs w:val="22"/>
        </w:rPr>
        <w:t>40’ container with just batteries: 1365 kWh (3000+ kW)</w:t>
      </w:r>
    </w:p>
    <w:p w:rsidR="004621BD" w:rsidRPr="005A4AD5" w:rsidRDefault="004621BD" w:rsidP="004621BD">
      <w:pPr>
        <w:pStyle w:val="ListParagraph"/>
        <w:numPr>
          <w:ilvl w:val="2"/>
          <w:numId w:val="1"/>
        </w:numPr>
        <w:rPr>
          <w:color w:val="002060"/>
          <w:sz w:val="22"/>
          <w:szCs w:val="22"/>
        </w:rPr>
      </w:pPr>
      <w:r w:rsidRPr="005A4AD5">
        <w:rPr>
          <w:color w:val="002060"/>
          <w:sz w:val="22"/>
          <w:szCs w:val="22"/>
        </w:rPr>
        <w:t>40’ container with batteries and power electronics: 819 kWh (1800+kW)</w:t>
      </w:r>
    </w:p>
    <w:p w:rsidR="00E00032" w:rsidRPr="005A4AD5" w:rsidRDefault="00E00032" w:rsidP="00A2331B">
      <w:pPr>
        <w:pStyle w:val="ListParagraph"/>
        <w:numPr>
          <w:ilvl w:val="0"/>
          <w:numId w:val="1"/>
        </w:numPr>
        <w:ind w:left="426"/>
        <w:rPr>
          <w:color w:val="002060"/>
          <w:sz w:val="22"/>
          <w:szCs w:val="22"/>
        </w:rPr>
      </w:pPr>
      <w:r w:rsidRPr="005A4AD5">
        <w:rPr>
          <w:color w:val="002060"/>
          <w:sz w:val="22"/>
          <w:szCs w:val="22"/>
        </w:rPr>
        <w:t>What are the recharge times?</w:t>
      </w:r>
    </w:p>
    <w:p w:rsidR="001D6E7F" w:rsidRDefault="0050177A" w:rsidP="009B1289">
      <w:pPr>
        <w:pStyle w:val="ListParagraph"/>
        <w:numPr>
          <w:ilvl w:val="1"/>
          <w:numId w:val="1"/>
        </w:numPr>
        <w:rPr>
          <w:color w:val="002060"/>
          <w:sz w:val="22"/>
          <w:szCs w:val="22"/>
        </w:rPr>
      </w:pPr>
      <w:r w:rsidRPr="0089213E">
        <w:rPr>
          <w:color w:val="002060"/>
          <w:sz w:val="22"/>
          <w:szCs w:val="22"/>
        </w:rPr>
        <w:t xml:space="preserve">Charge rates are </w:t>
      </w:r>
      <w:r w:rsidR="00C109FB" w:rsidRPr="0089213E">
        <w:rPr>
          <w:color w:val="002060"/>
          <w:sz w:val="22"/>
          <w:szCs w:val="22"/>
        </w:rPr>
        <w:t>more limited than discharge rates</w:t>
      </w:r>
      <w:r w:rsidR="001D6E7F">
        <w:rPr>
          <w:color w:val="002060"/>
          <w:sz w:val="22"/>
          <w:szCs w:val="22"/>
        </w:rPr>
        <w:t>, and are thus less definitively stated by manufacturers</w:t>
      </w:r>
      <w:r w:rsidR="00C109FB" w:rsidRPr="0089213E">
        <w:rPr>
          <w:color w:val="002060"/>
          <w:sz w:val="22"/>
          <w:szCs w:val="22"/>
        </w:rPr>
        <w:t xml:space="preserve">. </w:t>
      </w:r>
    </w:p>
    <w:p w:rsidR="0050177A" w:rsidRPr="0089213E" w:rsidRDefault="00C13183" w:rsidP="009B1289">
      <w:pPr>
        <w:pStyle w:val="ListParagraph"/>
        <w:numPr>
          <w:ilvl w:val="1"/>
          <w:numId w:val="1"/>
        </w:numPr>
        <w:rPr>
          <w:color w:val="002060"/>
          <w:sz w:val="22"/>
          <w:szCs w:val="22"/>
        </w:rPr>
      </w:pPr>
      <w:r w:rsidRPr="0089213E">
        <w:rPr>
          <w:color w:val="002060"/>
          <w:sz w:val="22"/>
          <w:szCs w:val="22"/>
        </w:rPr>
        <w:lastRenderedPageBreak/>
        <w:t xml:space="preserve">Temperature is the key consideration – higher rates generate more heat. For short periods of time (less heat generated), or when followed by periods of reduced activity (to cool) higher rates are achievable. </w:t>
      </w:r>
      <w:r w:rsidR="0089213E" w:rsidRPr="0089213E">
        <w:rPr>
          <w:color w:val="002060"/>
          <w:sz w:val="22"/>
          <w:szCs w:val="22"/>
        </w:rPr>
        <w:t xml:space="preserve">Higher rates (higher heat generation) can also be expected to reduce lifetime. For this reason, the answer depends heavily on the duty cycle. </w:t>
      </w:r>
      <w:r w:rsidR="00811010">
        <w:rPr>
          <w:color w:val="002060"/>
          <w:sz w:val="22"/>
          <w:szCs w:val="22"/>
        </w:rPr>
        <w:t xml:space="preserve">This is why ‘peak’ rate capabilities are often stated. </w:t>
      </w:r>
      <w:r w:rsidR="0089213E" w:rsidRPr="0089213E">
        <w:rPr>
          <w:color w:val="002060"/>
          <w:sz w:val="22"/>
          <w:szCs w:val="22"/>
        </w:rPr>
        <w:t>It also depends on cell design, chemistry, and cooling.</w:t>
      </w:r>
    </w:p>
    <w:p w:rsidR="00C13183" w:rsidRDefault="00C13183" w:rsidP="00C13183">
      <w:pPr>
        <w:pStyle w:val="ListParagraph"/>
        <w:numPr>
          <w:ilvl w:val="1"/>
          <w:numId w:val="1"/>
        </w:numPr>
        <w:rPr>
          <w:color w:val="002060"/>
          <w:sz w:val="22"/>
          <w:szCs w:val="22"/>
        </w:rPr>
      </w:pPr>
      <w:r>
        <w:rPr>
          <w:color w:val="002060"/>
          <w:sz w:val="22"/>
          <w:szCs w:val="22"/>
        </w:rPr>
        <w:t xml:space="preserve">A </w:t>
      </w:r>
      <w:r w:rsidRPr="00811010">
        <w:rPr>
          <w:color w:val="002060"/>
          <w:sz w:val="22"/>
          <w:szCs w:val="22"/>
          <w:u w:val="single"/>
        </w:rPr>
        <w:t>conservative</w:t>
      </w:r>
      <w:r>
        <w:rPr>
          <w:color w:val="002060"/>
          <w:sz w:val="22"/>
          <w:szCs w:val="22"/>
        </w:rPr>
        <w:t xml:space="preserve"> estimate for acceptable</w:t>
      </w:r>
      <w:r w:rsidRPr="005A4AD5">
        <w:rPr>
          <w:color w:val="002060"/>
          <w:sz w:val="22"/>
          <w:szCs w:val="22"/>
        </w:rPr>
        <w:t xml:space="preserve"> limits for </w:t>
      </w:r>
      <w:r w:rsidRPr="005A4AD5">
        <w:rPr>
          <w:color w:val="002060"/>
          <w:sz w:val="22"/>
          <w:szCs w:val="22"/>
          <w:u w:val="single"/>
        </w:rPr>
        <w:t>constant</w:t>
      </w:r>
      <w:r w:rsidRPr="005A4AD5">
        <w:rPr>
          <w:color w:val="002060"/>
          <w:sz w:val="22"/>
          <w:szCs w:val="22"/>
        </w:rPr>
        <w:t xml:space="preserve"> charge and discharge cycling are likely to be charging in one hour and discharging in 30 minutes.</w:t>
      </w:r>
      <w:r w:rsidR="001D6E7F">
        <w:rPr>
          <w:color w:val="002060"/>
          <w:sz w:val="22"/>
          <w:szCs w:val="22"/>
        </w:rPr>
        <w:t xml:space="preserve"> If the cycling is not</w:t>
      </w:r>
      <w:r w:rsidR="00811010">
        <w:rPr>
          <w:color w:val="002060"/>
          <w:sz w:val="22"/>
          <w:szCs w:val="22"/>
        </w:rPr>
        <w:t xml:space="preserve"> constant, or either charging or discharging levels are reduced, the other power level may be increased.</w:t>
      </w:r>
      <w:r>
        <w:rPr>
          <w:color w:val="002060"/>
          <w:sz w:val="22"/>
          <w:szCs w:val="22"/>
        </w:rPr>
        <w:t xml:space="preserve"> Maximum </w:t>
      </w:r>
      <w:r w:rsidR="00811010">
        <w:rPr>
          <w:color w:val="002060"/>
          <w:sz w:val="22"/>
          <w:szCs w:val="22"/>
        </w:rPr>
        <w:t xml:space="preserve">full </w:t>
      </w:r>
      <w:r>
        <w:rPr>
          <w:color w:val="002060"/>
          <w:sz w:val="22"/>
          <w:szCs w:val="22"/>
        </w:rPr>
        <w:t xml:space="preserve">continuous discharge </w:t>
      </w:r>
      <w:r w:rsidR="00811010">
        <w:rPr>
          <w:color w:val="002060"/>
          <w:sz w:val="22"/>
          <w:szCs w:val="22"/>
        </w:rPr>
        <w:t xml:space="preserve">can likely be expected in </w:t>
      </w:r>
      <w:r>
        <w:rPr>
          <w:color w:val="002060"/>
          <w:sz w:val="22"/>
          <w:szCs w:val="22"/>
        </w:rPr>
        <w:t xml:space="preserve">10-15 minutes. </w:t>
      </w:r>
    </w:p>
    <w:p w:rsidR="00A2331B" w:rsidRPr="005A4AD5" w:rsidRDefault="00A2331B" w:rsidP="00E04E1C">
      <w:pPr>
        <w:pStyle w:val="ListParagraph"/>
        <w:numPr>
          <w:ilvl w:val="1"/>
          <w:numId w:val="1"/>
        </w:numPr>
        <w:rPr>
          <w:color w:val="002060"/>
          <w:sz w:val="22"/>
          <w:szCs w:val="22"/>
        </w:rPr>
      </w:pPr>
      <w:r w:rsidRPr="005A4AD5">
        <w:rPr>
          <w:color w:val="002060"/>
          <w:sz w:val="22"/>
          <w:szCs w:val="22"/>
        </w:rPr>
        <w:t>New, advanced chemistries</w:t>
      </w:r>
      <w:r w:rsidR="00C109FB" w:rsidRPr="005A4AD5">
        <w:rPr>
          <w:color w:val="002060"/>
          <w:sz w:val="22"/>
          <w:szCs w:val="22"/>
        </w:rPr>
        <w:t xml:space="preserve"> (</w:t>
      </w:r>
      <w:proofErr w:type="spellStart"/>
      <w:r w:rsidR="00C109FB" w:rsidRPr="005A4AD5">
        <w:rPr>
          <w:color w:val="002060"/>
          <w:sz w:val="22"/>
          <w:szCs w:val="22"/>
        </w:rPr>
        <w:t>titanate</w:t>
      </w:r>
      <w:proofErr w:type="spellEnd"/>
      <w:r w:rsidR="0050177A" w:rsidRPr="005A4AD5">
        <w:rPr>
          <w:color w:val="002060"/>
          <w:sz w:val="22"/>
          <w:szCs w:val="22"/>
        </w:rPr>
        <w:t>, LTO</w:t>
      </w:r>
      <w:r w:rsidR="00C109FB" w:rsidRPr="005A4AD5">
        <w:rPr>
          <w:color w:val="002060"/>
          <w:sz w:val="22"/>
          <w:szCs w:val="22"/>
        </w:rPr>
        <w:t>)</w:t>
      </w:r>
      <w:r w:rsidRPr="005A4AD5">
        <w:rPr>
          <w:color w:val="002060"/>
          <w:sz w:val="22"/>
          <w:szCs w:val="22"/>
        </w:rPr>
        <w:t xml:space="preserve"> </w:t>
      </w:r>
      <w:r w:rsidR="0074062E" w:rsidRPr="005A4AD5">
        <w:rPr>
          <w:color w:val="002060"/>
          <w:sz w:val="22"/>
          <w:szCs w:val="22"/>
        </w:rPr>
        <w:t>can perform higher rates</w:t>
      </w:r>
      <w:r w:rsidR="0089213E">
        <w:rPr>
          <w:color w:val="002060"/>
          <w:sz w:val="22"/>
          <w:szCs w:val="22"/>
        </w:rPr>
        <w:t xml:space="preserve"> (&lt;30 min</w:t>
      </w:r>
      <w:r w:rsidR="0050177A" w:rsidRPr="005A4AD5">
        <w:rPr>
          <w:color w:val="002060"/>
          <w:sz w:val="22"/>
          <w:szCs w:val="22"/>
        </w:rPr>
        <w:t>)</w:t>
      </w:r>
      <w:r w:rsidR="0074062E" w:rsidRPr="005A4AD5">
        <w:rPr>
          <w:color w:val="002060"/>
          <w:sz w:val="22"/>
          <w:szCs w:val="22"/>
        </w:rPr>
        <w:t xml:space="preserve"> </w:t>
      </w:r>
      <w:r w:rsidR="005A4AD5" w:rsidRPr="005A4AD5">
        <w:rPr>
          <w:color w:val="002060"/>
          <w:sz w:val="22"/>
          <w:szCs w:val="22"/>
        </w:rPr>
        <w:t>while</w:t>
      </w:r>
      <w:r w:rsidR="0074062E" w:rsidRPr="005A4AD5">
        <w:rPr>
          <w:color w:val="002060"/>
          <w:sz w:val="22"/>
          <w:szCs w:val="22"/>
        </w:rPr>
        <w:t xml:space="preserve"> also offer</w:t>
      </w:r>
      <w:r w:rsidR="005A4AD5" w:rsidRPr="005A4AD5">
        <w:rPr>
          <w:color w:val="002060"/>
          <w:sz w:val="22"/>
          <w:szCs w:val="22"/>
        </w:rPr>
        <w:t>ing</w:t>
      </w:r>
      <w:r w:rsidR="0074062E" w:rsidRPr="005A4AD5">
        <w:rPr>
          <w:color w:val="002060"/>
          <w:sz w:val="22"/>
          <w:szCs w:val="22"/>
        </w:rPr>
        <w:t xml:space="preserve"> increased expected lifetime.</w:t>
      </w:r>
    </w:p>
    <w:p w:rsidR="00E00032" w:rsidRPr="005A4AD5" w:rsidRDefault="00E00032" w:rsidP="00A2331B">
      <w:pPr>
        <w:pStyle w:val="ListParagraph"/>
        <w:numPr>
          <w:ilvl w:val="0"/>
          <w:numId w:val="1"/>
        </w:numPr>
        <w:ind w:left="426"/>
        <w:rPr>
          <w:color w:val="002060"/>
          <w:sz w:val="22"/>
          <w:szCs w:val="22"/>
        </w:rPr>
      </w:pPr>
      <w:r w:rsidRPr="005A4AD5">
        <w:rPr>
          <w:color w:val="002060"/>
          <w:sz w:val="22"/>
          <w:szCs w:val="22"/>
        </w:rPr>
        <w:t>Are there any problems with venting/gaseous fumes when recharging?</w:t>
      </w:r>
    </w:p>
    <w:p w:rsidR="00A2331B" w:rsidRPr="005A4AD5" w:rsidRDefault="00A2331B" w:rsidP="00A2331B">
      <w:pPr>
        <w:pStyle w:val="ListParagraph"/>
        <w:numPr>
          <w:ilvl w:val="1"/>
          <w:numId w:val="1"/>
        </w:numPr>
        <w:rPr>
          <w:color w:val="002060"/>
          <w:sz w:val="22"/>
          <w:szCs w:val="22"/>
        </w:rPr>
      </w:pPr>
      <w:r w:rsidRPr="005A4AD5">
        <w:rPr>
          <w:color w:val="002060"/>
          <w:sz w:val="22"/>
          <w:szCs w:val="22"/>
        </w:rPr>
        <w:t xml:space="preserve">There are significant problems with venting and gaseous fumes, but these are not typically </w:t>
      </w:r>
      <w:r w:rsidR="00304F3E" w:rsidRPr="005A4AD5">
        <w:rPr>
          <w:color w:val="002060"/>
          <w:sz w:val="22"/>
          <w:szCs w:val="22"/>
        </w:rPr>
        <w:t>regarded as risks during</w:t>
      </w:r>
      <w:r w:rsidR="0074062E" w:rsidRPr="005A4AD5">
        <w:rPr>
          <w:color w:val="002060"/>
          <w:sz w:val="22"/>
          <w:szCs w:val="22"/>
        </w:rPr>
        <w:t xml:space="preserve"> </w:t>
      </w:r>
      <w:r w:rsidR="004621BD" w:rsidRPr="005A4AD5">
        <w:rPr>
          <w:color w:val="002060"/>
          <w:sz w:val="22"/>
          <w:szCs w:val="22"/>
        </w:rPr>
        <w:t xml:space="preserve">standard </w:t>
      </w:r>
      <w:r w:rsidR="0074062E" w:rsidRPr="005A4AD5">
        <w:rPr>
          <w:color w:val="002060"/>
          <w:sz w:val="22"/>
          <w:szCs w:val="22"/>
        </w:rPr>
        <w:t>daily</w:t>
      </w:r>
      <w:r w:rsidRPr="005A4AD5">
        <w:rPr>
          <w:color w:val="002060"/>
          <w:sz w:val="22"/>
          <w:szCs w:val="22"/>
        </w:rPr>
        <w:t xml:space="preserve"> operation (charging or discharging). These represent risks during failure scenarios</w:t>
      </w:r>
      <w:r w:rsidR="004621BD" w:rsidRPr="005A4AD5">
        <w:rPr>
          <w:color w:val="002060"/>
          <w:sz w:val="22"/>
          <w:szCs w:val="22"/>
        </w:rPr>
        <w:t>.</w:t>
      </w:r>
    </w:p>
    <w:p w:rsidR="009D07B3" w:rsidRPr="005A4AD5" w:rsidRDefault="005A4AD5" w:rsidP="00A2331B">
      <w:pPr>
        <w:pStyle w:val="ListParagraph"/>
        <w:numPr>
          <w:ilvl w:val="1"/>
          <w:numId w:val="1"/>
        </w:numPr>
        <w:rPr>
          <w:color w:val="002060"/>
          <w:sz w:val="22"/>
          <w:szCs w:val="22"/>
        </w:rPr>
      </w:pPr>
      <w:r w:rsidRPr="005A4AD5">
        <w:rPr>
          <w:color w:val="002060"/>
          <w:sz w:val="22"/>
          <w:szCs w:val="22"/>
        </w:rPr>
        <w:t xml:space="preserve">The explosion - </w:t>
      </w:r>
      <w:r w:rsidR="009D07B3" w:rsidRPr="005A4AD5">
        <w:rPr>
          <w:color w:val="002060"/>
          <w:sz w:val="22"/>
          <w:szCs w:val="22"/>
        </w:rPr>
        <w:t>as well as toxicity</w:t>
      </w:r>
      <w:r w:rsidRPr="005A4AD5">
        <w:rPr>
          <w:color w:val="002060"/>
          <w:sz w:val="22"/>
          <w:szCs w:val="22"/>
        </w:rPr>
        <w:t xml:space="preserve"> -</w:t>
      </w:r>
      <w:r w:rsidR="009D07B3" w:rsidRPr="005A4AD5">
        <w:rPr>
          <w:color w:val="002060"/>
          <w:sz w:val="22"/>
          <w:szCs w:val="22"/>
        </w:rPr>
        <w:t xml:space="preserve"> risks are substantial. </w:t>
      </w:r>
      <w:r w:rsidR="00371D78" w:rsidRPr="005A4AD5">
        <w:rPr>
          <w:color w:val="002060"/>
          <w:sz w:val="22"/>
          <w:szCs w:val="22"/>
        </w:rPr>
        <w:t>DNV GL has been leading the energy storage industry in assessing safety risks for stationary systems. There are still questions remaining for maritime applications; d</w:t>
      </w:r>
      <w:r w:rsidR="009D07B3" w:rsidRPr="005A4AD5">
        <w:rPr>
          <w:color w:val="002060"/>
          <w:sz w:val="22"/>
          <w:szCs w:val="22"/>
        </w:rPr>
        <w:t>etermining system design requirements</w:t>
      </w:r>
      <w:r w:rsidR="00371D78" w:rsidRPr="005A4AD5">
        <w:rPr>
          <w:color w:val="002060"/>
          <w:sz w:val="22"/>
          <w:szCs w:val="22"/>
        </w:rPr>
        <w:t>, effective mechanisms,</w:t>
      </w:r>
      <w:r w:rsidR="009D07B3" w:rsidRPr="005A4AD5">
        <w:rPr>
          <w:color w:val="002060"/>
          <w:sz w:val="22"/>
          <w:szCs w:val="22"/>
        </w:rPr>
        <w:t xml:space="preserve"> and fine tuning testing needs to be done. DNV GL is currently organizing and executing the Maritime Battery Safety Joint Development Project to address these issues </w:t>
      </w:r>
      <w:r w:rsidR="00D354EE" w:rsidRPr="005A4AD5">
        <w:rPr>
          <w:color w:val="002060"/>
          <w:sz w:val="22"/>
          <w:szCs w:val="22"/>
        </w:rPr>
        <w:t>with multiple industry partners</w:t>
      </w:r>
      <w:r w:rsidR="00371D78" w:rsidRPr="005A4AD5">
        <w:rPr>
          <w:color w:val="002060"/>
          <w:sz w:val="22"/>
          <w:szCs w:val="22"/>
        </w:rPr>
        <w:t xml:space="preserve"> including NMA</w:t>
      </w:r>
      <w:r w:rsidR="00D354EE" w:rsidRPr="005A4AD5">
        <w:rPr>
          <w:color w:val="002060"/>
          <w:sz w:val="22"/>
          <w:szCs w:val="22"/>
        </w:rPr>
        <w:t xml:space="preserve"> (POC: Ben Gully).</w:t>
      </w:r>
    </w:p>
    <w:p w:rsidR="00E00032" w:rsidRPr="005A4AD5" w:rsidRDefault="00E00032" w:rsidP="00A2331B">
      <w:pPr>
        <w:pStyle w:val="ListParagraph"/>
        <w:numPr>
          <w:ilvl w:val="0"/>
          <w:numId w:val="1"/>
        </w:numPr>
        <w:ind w:left="426"/>
        <w:rPr>
          <w:color w:val="002060"/>
          <w:sz w:val="22"/>
          <w:szCs w:val="22"/>
        </w:rPr>
      </w:pPr>
      <w:r w:rsidRPr="005A4AD5">
        <w:rPr>
          <w:color w:val="002060"/>
          <w:sz w:val="22"/>
          <w:szCs w:val="22"/>
        </w:rPr>
        <w:t>Is any special fire protection required?</w:t>
      </w:r>
    </w:p>
    <w:p w:rsidR="00A2331B" w:rsidRPr="005A4AD5" w:rsidRDefault="00304F3E" w:rsidP="00A2331B">
      <w:pPr>
        <w:pStyle w:val="ListParagraph"/>
        <w:numPr>
          <w:ilvl w:val="1"/>
          <w:numId w:val="1"/>
        </w:numPr>
        <w:rPr>
          <w:color w:val="002060"/>
          <w:sz w:val="22"/>
          <w:szCs w:val="22"/>
        </w:rPr>
      </w:pPr>
      <w:r w:rsidRPr="005A4AD5">
        <w:rPr>
          <w:color w:val="002060"/>
          <w:sz w:val="22"/>
          <w:szCs w:val="22"/>
        </w:rPr>
        <w:t>Once a fire (thermal runaway), has initiated, l</w:t>
      </w:r>
      <w:r w:rsidR="00A2331B" w:rsidRPr="005A4AD5">
        <w:rPr>
          <w:color w:val="002060"/>
          <w:sz w:val="22"/>
          <w:szCs w:val="22"/>
        </w:rPr>
        <w:t>arge amounts of heat absorption</w:t>
      </w:r>
      <w:r w:rsidR="0074062E" w:rsidRPr="005A4AD5">
        <w:rPr>
          <w:color w:val="002060"/>
          <w:sz w:val="22"/>
          <w:szCs w:val="22"/>
        </w:rPr>
        <w:t xml:space="preserve"> is recommended to limit cascading</w:t>
      </w:r>
      <w:r w:rsidR="005A4AD5" w:rsidRPr="005A4AD5">
        <w:rPr>
          <w:color w:val="002060"/>
          <w:sz w:val="22"/>
          <w:szCs w:val="22"/>
        </w:rPr>
        <w:t>, water is typically the most effective. F</w:t>
      </w:r>
      <w:r w:rsidR="0074062E" w:rsidRPr="005A4AD5">
        <w:rPr>
          <w:color w:val="002060"/>
          <w:sz w:val="22"/>
          <w:szCs w:val="22"/>
        </w:rPr>
        <w:t xml:space="preserve">ires (depending on chemistry) are </w:t>
      </w:r>
      <w:r w:rsidR="004621BD" w:rsidRPr="005A4AD5">
        <w:rPr>
          <w:color w:val="002060"/>
          <w:sz w:val="22"/>
          <w:szCs w:val="22"/>
        </w:rPr>
        <w:t>self-oxygenating</w:t>
      </w:r>
      <w:r w:rsidR="00371D78" w:rsidRPr="005A4AD5">
        <w:rPr>
          <w:color w:val="002060"/>
          <w:sz w:val="22"/>
          <w:szCs w:val="22"/>
        </w:rPr>
        <w:t xml:space="preserve"> and not easily extinguished</w:t>
      </w:r>
      <w:r w:rsidR="00A2331B" w:rsidRPr="005A4AD5">
        <w:rPr>
          <w:color w:val="002060"/>
          <w:sz w:val="22"/>
          <w:szCs w:val="22"/>
        </w:rPr>
        <w:t xml:space="preserve">. </w:t>
      </w:r>
      <w:r w:rsidRPr="005A4AD5">
        <w:rPr>
          <w:color w:val="002060"/>
          <w:sz w:val="22"/>
          <w:szCs w:val="22"/>
        </w:rPr>
        <w:t xml:space="preserve">Class rules may require A60 walls, depending on location. </w:t>
      </w:r>
      <w:r w:rsidR="00A2331B" w:rsidRPr="005A4AD5">
        <w:rPr>
          <w:color w:val="002060"/>
          <w:sz w:val="22"/>
          <w:szCs w:val="22"/>
        </w:rPr>
        <w:t xml:space="preserve">Explosion risk from </w:t>
      </w:r>
      <w:proofErr w:type="spellStart"/>
      <w:r w:rsidR="00A2331B" w:rsidRPr="005A4AD5">
        <w:rPr>
          <w:color w:val="002060"/>
          <w:sz w:val="22"/>
          <w:szCs w:val="22"/>
        </w:rPr>
        <w:t>offgas</w:t>
      </w:r>
      <w:proofErr w:type="spellEnd"/>
      <w:r w:rsidR="00A2331B" w:rsidRPr="005A4AD5">
        <w:rPr>
          <w:color w:val="002060"/>
          <w:sz w:val="22"/>
          <w:szCs w:val="22"/>
        </w:rPr>
        <w:t xml:space="preserve"> </w:t>
      </w:r>
      <w:r w:rsidR="0074062E" w:rsidRPr="005A4AD5">
        <w:rPr>
          <w:color w:val="002060"/>
          <w:sz w:val="22"/>
          <w:szCs w:val="22"/>
        </w:rPr>
        <w:t>is a</w:t>
      </w:r>
      <w:r w:rsidR="00A2331B" w:rsidRPr="005A4AD5">
        <w:rPr>
          <w:color w:val="002060"/>
          <w:sz w:val="22"/>
          <w:szCs w:val="22"/>
        </w:rPr>
        <w:t xml:space="preserve"> primary safety design consideration.</w:t>
      </w:r>
    </w:p>
    <w:p w:rsidR="00E00032" w:rsidRPr="005A4AD5" w:rsidRDefault="00E00032" w:rsidP="00A2331B">
      <w:pPr>
        <w:pStyle w:val="ListParagraph"/>
        <w:numPr>
          <w:ilvl w:val="0"/>
          <w:numId w:val="1"/>
        </w:numPr>
        <w:ind w:left="426"/>
        <w:rPr>
          <w:color w:val="002060"/>
          <w:sz w:val="22"/>
          <w:szCs w:val="22"/>
        </w:rPr>
      </w:pPr>
      <w:r w:rsidRPr="005A4AD5">
        <w:rPr>
          <w:color w:val="002060"/>
          <w:sz w:val="22"/>
          <w:szCs w:val="22"/>
        </w:rPr>
        <w:t xml:space="preserve">Recommended charge/discharge cycles for the latest Li chemistries and impact (quantitative) on battery life.  </w:t>
      </w:r>
    </w:p>
    <w:p w:rsidR="004621BD" w:rsidRPr="005A4AD5" w:rsidRDefault="004621BD" w:rsidP="00A2331B">
      <w:pPr>
        <w:pStyle w:val="ListParagraph"/>
        <w:numPr>
          <w:ilvl w:val="1"/>
          <w:numId w:val="1"/>
        </w:numPr>
        <w:rPr>
          <w:color w:val="002060"/>
          <w:sz w:val="22"/>
          <w:szCs w:val="22"/>
        </w:rPr>
      </w:pPr>
      <w:r w:rsidRPr="005A4AD5">
        <w:rPr>
          <w:color w:val="002060"/>
          <w:sz w:val="22"/>
          <w:szCs w:val="22"/>
        </w:rPr>
        <w:t xml:space="preserve">Reducing the relative size of the cycle and reducing the power will always benefit </w:t>
      </w:r>
      <w:r w:rsidR="002C3CC1" w:rsidRPr="005A4AD5">
        <w:rPr>
          <w:color w:val="002060"/>
          <w:sz w:val="22"/>
          <w:szCs w:val="22"/>
        </w:rPr>
        <w:t>battery</w:t>
      </w:r>
      <w:r w:rsidRPr="005A4AD5">
        <w:rPr>
          <w:color w:val="002060"/>
          <w:sz w:val="22"/>
          <w:szCs w:val="22"/>
        </w:rPr>
        <w:t xml:space="preserve"> life. So sizing is </w:t>
      </w:r>
      <w:proofErr w:type="gramStart"/>
      <w:r w:rsidRPr="005A4AD5">
        <w:rPr>
          <w:color w:val="002060"/>
          <w:sz w:val="22"/>
          <w:szCs w:val="22"/>
        </w:rPr>
        <w:t>key</w:t>
      </w:r>
      <w:proofErr w:type="gramEnd"/>
      <w:r w:rsidRPr="005A4AD5">
        <w:rPr>
          <w:color w:val="002060"/>
          <w:sz w:val="22"/>
          <w:szCs w:val="22"/>
        </w:rPr>
        <w:t xml:space="preserve"> to battery lifetime.</w:t>
      </w:r>
    </w:p>
    <w:p w:rsidR="00A2331B" w:rsidRPr="005A4AD5" w:rsidRDefault="0074062E" w:rsidP="00A2331B">
      <w:pPr>
        <w:pStyle w:val="ListParagraph"/>
        <w:numPr>
          <w:ilvl w:val="1"/>
          <w:numId w:val="1"/>
        </w:numPr>
        <w:rPr>
          <w:color w:val="002060"/>
          <w:sz w:val="22"/>
          <w:szCs w:val="22"/>
        </w:rPr>
      </w:pPr>
      <w:r w:rsidRPr="005A4AD5">
        <w:rPr>
          <w:color w:val="002060"/>
          <w:sz w:val="22"/>
          <w:szCs w:val="22"/>
        </w:rPr>
        <w:t>S</w:t>
      </w:r>
      <w:r w:rsidR="00923F85" w:rsidRPr="005A4AD5">
        <w:rPr>
          <w:color w:val="002060"/>
          <w:sz w:val="22"/>
          <w:szCs w:val="22"/>
        </w:rPr>
        <w:t xml:space="preserve">ystems are rated based on the </w:t>
      </w:r>
      <w:r w:rsidRPr="005A4AD5">
        <w:rPr>
          <w:color w:val="002060"/>
          <w:sz w:val="22"/>
          <w:szCs w:val="22"/>
        </w:rPr>
        <w:t xml:space="preserve">size of cycles and </w:t>
      </w:r>
      <w:r w:rsidR="00923F85" w:rsidRPr="005A4AD5">
        <w:rPr>
          <w:color w:val="002060"/>
          <w:sz w:val="22"/>
          <w:szCs w:val="22"/>
        </w:rPr>
        <w:t xml:space="preserve">number of cycles that can be performed until the battery </w:t>
      </w:r>
      <w:r w:rsidRPr="005A4AD5">
        <w:rPr>
          <w:color w:val="002060"/>
          <w:sz w:val="22"/>
          <w:szCs w:val="22"/>
        </w:rPr>
        <w:t>will have</w:t>
      </w:r>
      <w:r w:rsidR="00923F85" w:rsidRPr="005A4AD5">
        <w:rPr>
          <w:color w:val="002060"/>
          <w:sz w:val="22"/>
          <w:szCs w:val="22"/>
        </w:rPr>
        <w:t xml:space="preserve"> degraded to 80% of its original capacity. Typical chemistries </w:t>
      </w:r>
      <w:r w:rsidRPr="005A4AD5">
        <w:rPr>
          <w:color w:val="002060"/>
          <w:sz w:val="22"/>
          <w:szCs w:val="22"/>
        </w:rPr>
        <w:t>are rated</w:t>
      </w:r>
      <w:r w:rsidR="00A2331B" w:rsidRPr="005A4AD5">
        <w:rPr>
          <w:color w:val="002060"/>
          <w:sz w:val="22"/>
          <w:szCs w:val="22"/>
        </w:rPr>
        <w:t xml:space="preserve"> around </w:t>
      </w:r>
      <w:r w:rsidR="00923F85" w:rsidRPr="005A4AD5">
        <w:rPr>
          <w:color w:val="002060"/>
          <w:sz w:val="22"/>
          <w:szCs w:val="22"/>
        </w:rPr>
        <w:t>8-</w:t>
      </w:r>
      <w:r w:rsidR="00A2331B" w:rsidRPr="005A4AD5">
        <w:rPr>
          <w:color w:val="002060"/>
          <w:sz w:val="22"/>
          <w:szCs w:val="22"/>
        </w:rPr>
        <w:t>1</w:t>
      </w:r>
      <w:r w:rsidRPr="005A4AD5">
        <w:rPr>
          <w:color w:val="002060"/>
          <w:sz w:val="22"/>
          <w:szCs w:val="22"/>
        </w:rPr>
        <w:t>2</w:t>
      </w:r>
      <w:r w:rsidR="00A2331B" w:rsidRPr="005A4AD5">
        <w:rPr>
          <w:color w:val="002060"/>
          <w:sz w:val="22"/>
          <w:szCs w:val="22"/>
        </w:rPr>
        <w:t xml:space="preserve">,000 cycles at 80% DOD, or around </w:t>
      </w:r>
      <w:r w:rsidR="00923F85" w:rsidRPr="005A4AD5">
        <w:rPr>
          <w:color w:val="002060"/>
          <w:sz w:val="22"/>
          <w:szCs w:val="22"/>
        </w:rPr>
        <w:t>4-</w:t>
      </w:r>
      <w:r w:rsidR="00A2331B" w:rsidRPr="005A4AD5">
        <w:rPr>
          <w:color w:val="002060"/>
          <w:sz w:val="22"/>
          <w:szCs w:val="22"/>
        </w:rPr>
        <w:t>5000 at 100% DOD</w:t>
      </w:r>
    </w:p>
    <w:p w:rsidR="00923F85" w:rsidRPr="005A4AD5" w:rsidRDefault="00923F85" w:rsidP="00A2331B">
      <w:pPr>
        <w:pStyle w:val="ListParagraph"/>
        <w:numPr>
          <w:ilvl w:val="1"/>
          <w:numId w:val="1"/>
        </w:numPr>
        <w:rPr>
          <w:color w:val="002060"/>
          <w:sz w:val="22"/>
          <w:szCs w:val="22"/>
        </w:rPr>
      </w:pPr>
      <w:proofErr w:type="spellStart"/>
      <w:r w:rsidRPr="005A4AD5">
        <w:rPr>
          <w:color w:val="002060"/>
          <w:sz w:val="22"/>
          <w:szCs w:val="22"/>
        </w:rPr>
        <w:t>Titanate</w:t>
      </w:r>
      <w:proofErr w:type="spellEnd"/>
      <w:r w:rsidRPr="005A4AD5">
        <w:rPr>
          <w:color w:val="002060"/>
          <w:sz w:val="22"/>
          <w:szCs w:val="22"/>
        </w:rPr>
        <w:t xml:space="preserve"> chemistries </w:t>
      </w:r>
      <w:r w:rsidR="004621BD" w:rsidRPr="005A4AD5">
        <w:rPr>
          <w:color w:val="002060"/>
          <w:sz w:val="22"/>
          <w:szCs w:val="22"/>
        </w:rPr>
        <w:t xml:space="preserve">are available for </w:t>
      </w:r>
      <w:r w:rsidRPr="005A4AD5">
        <w:rPr>
          <w:color w:val="002060"/>
          <w:sz w:val="22"/>
          <w:szCs w:val="22"/>
        </w:rPr>
        <w:t>much higher cycle rating, almost 10 times that of NCM.</w:t>
      </w:r>
    </w:p>
    <w:p w:rsidR="009D07B3" w:rsidRPr="005A4AD5" w:rsidRDefault="009D07B3" w:rsidP="00A2331B">
      <w:pPr>
        <w:pStyle w:val="ListParagraph"/>
        <w:numPr>
          <w:ilvl w:val="1"/>
          <w:numId w:val="1"/>
        </w:numPr>
        <w:rPr>
          <w:color w:val="002060"/>
          <w:sz w:val="22"/>
          <w:szCs w:val="22"/>
        </w:rPr>
      </w:pPr>
      <w:r w:rsidRPr="005A4AD5">
        <w:rPr>
          <w:color w:val="002060"/>
          <w:sz w:val="22"/>
          <w:szCs w:val="22"/>
        </w:rPr>
        <w:t>Lifetime is closely related to sizing and is a complex question</w:t>
      </w:r>
      <w:r w:rsidR="00304F3E" w:rsidRPr="005A4AD5">
        <w:rPr>
          <w:color w:val="002060"/>
          <w:sz w:val="22"/>
          <w:szCs w:val="22"/>
        </w:rPr>
        <w:t xml:space="preserve"> – such as what constitutes a ‘cycle’</w:t>
      </w:r>
      <w:r w:rsidR="005A4AD5" w:rsidRPr="005A4AD5">
        <w:rPr>
          <w:color w:val="002060"/>
          <w:sz w:val="22"/>
          <w:szCs w:val="22"/>
        </w:rPr>
        <w:t xml:space="preserve"> during actual operation which is typically highly variable</w:t>
      </w:r>
      <w:r w:rsidRPr="005A4AD5">
        <w:rPr>
          <w:color w:val="002060"/>
          <w:sz w:val="22"/>
          <w:szCs w:val="22"/>
        </w:rPr>
        <w:t xml:space="preserve">. DNV GL has developed </w:t>
      </w:r>
      <w:proofErr w:type="spellStart"/>
      <w:r w:rsidRPr="005A4AD5">
        <w:rPr>
          <w:color w:val="002060"/>
          <w:sz w:val="22"/>
          <w:szCs w:val="22"/>
        </w:rPr>
        <w:t>BatteryXT</w:t>
      </w:r>
      <w:proofErr w:type="spellEnd"/>
      <w:r w:rsidRPr="005A4AD5">
        <w:rPr>
          <w:color w:val="002060"/>
          <w:sz w:val="22"/>
          <w:szCs w:val="22"/>
        </w:rPr>
        <w:t xml:space="preserve"> and engaged in (ongoing) extensive testing programs to understand and assess these issues.</w:t>
      </w:r>
      <w:r w:rsidR="00D354EE" w:rsidRPr="005A4AD5">
        <w:rPr>
          <w:color w:val="002060"/>
          <w:sz w:val="22"/>
          <w:szCs w:val="22"/>
        </w:rPr>
        <w:t xml:space="preserve"> POC: Ben Gully</w:t>
      </w:r>
    </w:p>
    <w:p w:rsidR="00E00032" w:rsidRPr="005A4AD5" w:rsidRDefault="00E00032" w:rsidP="00A2331B">
      <w:pPr>
        <w:pStyle w:val="ListParagraph"/>
        <w:numPr>
          <w:ilvl w:val="0"/>
          <w:numId w:val="1"/>
        </w:numPr>
        <w:ind w:left="426"/>
        <w:rPr>
          <w:color w:val="002060"/>
          <w:sz w:val="22"/>
          <w:szCs w:val="22"/>
        </w:rPr>
      </w:pPr>
      <w:r w:rsidRPr="005A4AD5">
        <w:rPr>
          <w:color w:val="002060"/>
          <w:sz w:val="22"/>
          <w:szCs w:val="22"/>
        </w:rPr>
        <w:t>Charge acceptance rates (like the plot attached, not c-rate) to calculate time to charge for the latest Li chemistries.</w:t>
      </w:r>
    </w:p>
    <w:p w:rsidR="004621BD" w:rsidRPr="005A4AD5" w:rsidRDefault="004621BD" w:rsidP="004621BD">
      <w:pPr>
        <w:pStyle w:val="ListParagraph"/>
        <w:numPr>
          <w:ilvl w:val="1"/>
          <w:numId w:val="1"/>
        </w:numPr>
        <w:rPr>
          <w:color w:val="002060"/>
          <w:sz w:val="22"/>
          <w:szCs w:val="22"/>
        </w:rPr>
      </w:pPr>
      <w:r w:rsidRPr="005A4AD5">
        <w:rPr>
          <w:color w:val="002060"/>
          <w:sz w:val="22"/>
          <w:szCs w:val="22"/>
        </w:rPr>
        <w:t xml:space="preserve">The plot attached represents typical lab test conditions. </w:t>
      </w:r>
      <w:r w:rsidR="009D07B3" w:rsidRPr="005A4AD5">
        <w:rPr>
          <w:color w:val="002060"/>
          <w:sz w:val="22"/>
          <w:szCs w:val="22"/>
        </w:rPr>
        <w:t>Most field batteries will be using a reduced amount of total energy (less than 100% DOD) and is not uncommon to charge at a constant rate</w:t>
      </w:r>
      <w:r w:rsidR="00314AD6">
        <w:rPr>
          <w:color w:val="002060"/>
          <w:sz w:val="22"/>
          <w:szCs w:val="22"/>
        </w:rPr>
        <w:t xml:space="preserve"> – for instance the constant slope of the ‘charge capacity’ line before it levels off close to 100</w:t>
      </w:r>
      <w:r w:rsidR="009D07B3" w:rsidRPr="005A4AD5">
        <w:rPr>
          <w:color w:val="002060"/>
          <w:sz w:val="22"/>
          <w:szCs w:val="22"/>
        </w:rPr>
        <w:t xml:space="preserve">. </w:t>
      </w:r>
      <w:r w:rsidR="00D354EE" w:rsidRPr="005A4AD5">
        <w:rPr>
          <w:color w:val="002060"/>
          <w:sz w:val="22"/>
          <w:szCs w:val="22"/>
        </w:rPr>
        <w:t xml:space="preserve">These rates are extremely </w:t>
      </w:r>
      <w:r w:rsidR="00D354EE" w:rsidRPr="005A4AD5">
        <w:rPr>
          <w:color w:val="002060"/>
          <w:sz w:val="22"/>
          <w:szCs w:val="22"/>
        </w:rPr>
        <w:lastRenderedPageBreak/>
        <w:t>dependent on chemistry (vendor) and system design (air vs liquid cooling) but again, charging is typically much more limited than discharging</w:t>
      </w:r>
      <w:r w:rsidR="00314AD6">
        <w:rPr>
          <w:color w:val="002060"/>
          <w:sz w:val="22"/>
          <w:szCs w:val="22"/>
        </w:rPr>
        <w:t xml:space="preserve"> and limitations depend heavily on how consecutively charging and discharging is performed</w:t>
      </w:r>
      <w:r w:rsidR="00D354EE" w:rsidRPr="005A4AD5">
        <w:rPr>
          <w:color w:val="002060"/>
          <w:sz w:val="22"/>
          <w:szCs w:val="22"/>
        </w:rPr>
        <w:t>. See above for typical rates (Bullet 3).</w:t>
      </w:r>
    </w:p>
    <w:p w:rsidR="00E00032" w:rsidRPr="005A4AD5" w:rsidRDefault="00E00032" w:rsidP="00A2331B">
      <w:pPr>
        <w:pStyle w:val="ListParagraph"/>
        <w:numPr>
          <w:ilvl w:val="0"/>
          <w:numId w:val="1"/>
        </w:numPr>
        <w:ind w:left="426"/>
        <w:rPr>
          <w:color w:val="002060"/>
          <w:sz w:val="22"/>
          <w:szCs w:val="22"/>
        </w:rPr>
      </w:pPr>
      <w:r w:rsidRPr="005A4AD5">
        <w:rPr>
          <w:color w:val="002060"/>
          <w:sz w:val="22"/>
          <w:szCs w:val="22"/>
        </w:rPr>
        <w:t>What is status of battery power density improvements (store more energy and reduce size)?</w:t>
      </w:r>
    </w:p>
    <w:p w:rsidR="00A2331B" w:rsidRPr="005A4AD5" w:rsidRDefault="00A2331B" w:rsidP="00A2331B">
      <w:pPr>
        <w:pStyle w:val="ListParagraph"/>
        <w:numPr>
          <w:ilvl w:val="1"/>
          <w:numId w:val="1"/>
        </w:numPr>
        <w:rPr>
          <w:color w:val="002060"/>
          <w:sz w:val="22"/>
          <w:szCs w:val="22"/>
        </w:rPr>
      </w:pPr>
      <w:r w:rsidRPr="005A4AD5">
        <w:rPr>
          <w:color w:val="002060"/>
          <w:sz w:val="22"/>
          <w:szCs w:val="22"/>
        </w:rPr>
        <w:t>Performance at the cell level is accelerating quickly.</w:t>
      </w:r>
      <w:r w:rsidR="00D354EE" w:rsidRPr="005A4AD5">
        <w:rPr>
          <w:color w:val="002060"/>
          <w:sz w:val="22"/>
          <w:szCs w:val="22"/>
        </w:rPr>
        <w:t xml:space="preserve"> See </w:t>
      </w:r>
      <w:r w:rsidR="00304F3E" w:rsidRPr="005A4AD5">
        <w:rPr>
          <w:color w:val="002060"/>
          <w:sz w:val="22"/>
          <w:szCs w:val="22"/>
        </w:rPr>
        <w:t>B</w:t>
      </w:r>
      <w:r w:rsidR="00D354EE" w:rsidRPr="005A4AD5">
        <w:rPr>
          <w:color w:val="002060"/>
          <w:sz w:val="22"/>
          <w:szCs w:val="22"/>
        </w:rPr>
        <w:t>ullet 2 for state of technology at full (containerized) scale.</w:t>
      </w:r>
      <w:r w:rsidR="00304F3E" w:rsidRPr="005A4AD5">
        <w:rPr>
          <w:color w:val="002060"/>
          <w:sz w:val="22"/>
          <w:szCs w:val="22"/>
        </w:rPr>
        <w:t xml:space="preserve"> For reference, a couple years ago we were testing 40Ah cells. Now we are testing 75Ah cells of almost indiscernible size difference.</w:t>
      </w:r>
    </w:p>
    <w:p w:rsidR="00E00032" w:rsidRPr="005A4AD5" w:rsidRDefault="00E00032" w:rsidP="00A2331B">
      <w:pPr>
        <w:pStyle w:val="ListParagraph"/>
        <w:numPr>
          <w:ilvl w:val="0"/>
          <w:numId w:val="1"/>
        </w:numPr>
        <w:ind w:left="426"/>
        <w:rPr>
          <w:color w:val="002060"/>
          <w:sz w:val="22"/>
          <w:szCs w:val="22"/>
        </w:rPr>
      </w:pPr>
      <w:r w:rsidRPr="005A4AD5">
        <w:rPr>
          <w:color w:val="002060"/>
          <w:sz w:val="22"/>
          <w:szCs w:val="22"/>
        </w:rPr>
        <w:t xml:space="preserve">What are the latest cooling methods? </w:t>
      </w:r>
    </w:p>
    <w:p w:rsidR="00A2331B" w:rsidRPr="005A4AD5" w:rsidRDefault="00A2331B" w:rsidP="00A2331B">
      <w:pPr>
        <w:pStyle w:val="ListParagraph"/>
        <w:numPr>
          <w:ilvl w:val="1"/>
          <w:numId w:val="1"/>
        </w:numPr>
        <w:rPr>
          <w:color w:val="002060"/>
          <w:sz w:val="22"/>
          <w:szCs w:val="22"/>
        </w:rPr>
      </w:pPr>
      <w:r w:rsidRPr="005A4AD5">
        <w:rPr>
          <w:color w:val="002060"/>
          <w:sz w:val="22"/>
          <w:szCs w:val="22"/>
        </w:rPr>
        <w:t>Air cooling is still the most common</w:t>
      </w:r>
      <w:r w:rsidR="002C3CC1" w:rsidRPr="005A4AD5">
        <w:rPr>
          <w:color w:val="002060"/>
          <w:sz w:val="22"/>
          <w:szCs w:val="22"/>
        </w:rPr>
        <w:t xml:space="preserve"> solution</w:t>
      </w:r>
      <w:r w:rsidR="00923F85" w:rsidRPr="005A4AD5">
        <w:rPr>
          <w:color w:val="002060"/>
          <w:sz w:val="22"/>
          <w:szCs w:val="22"/>
        </w:rPr>
        <w:t>,</w:t>
      </w:r>
      <w:r w:rsidR="002C3CC1" w:rsidRPr="005A4AD5">
        <w:rPr>
          <w:color w:val="002060"/>
          <w:sz w:val="22"/>
          <w:szCs w:val="22"/>
        </w:rPr>
        <w:t xml:space="preserve"> but</w:t>
      </w:r>
      <w:r w:rsidR="00923F85" w:rsidRPr="005A4AD5">
        <w:rPr>
          <w:color w:val="002060"/>
          <w:sz w:val="22"/>
          <w:szCs w:val="22"/>
        </w:rPr>
        <w:t xml:space="preserve"> many companies offer alternatives</w:t>
      </w:r>
      <w:r w:rsidR="00D354EE" w:rsidRPr="005A4AD5">
        <w:rPr>
          <w:color w:val="002060"/>
          <w:sz w:val="22"/>
          <w:szCs w:val="22"/>
        </w:rPr>
        <w:t xml:space="preserve"> such as liquid cooling</w:t>
      </w:r>
      <w:r w:rsidR="00923F85" w:rsidRPr="005A4AD5">
        <w:rPr>
          <w:color w:val="002060"/>
          <w:sz w:val="22"/>
          <w:szCs w:val="22"/>
        </w:rPr>
        <w:t>.</w:t>
      </w:r>
      <w:r w:rsidRPr="005A4AD5">
        <w:rPr>
          <w:color w:val="002060"/>
          <w:sz w:val="22"/>
          <w:szCs w:val="22"/>
        </w:rPr>
        <w:t xml:space="preserve"> Requirements depend on power levels and system design</w:t>
      </w:r>
      <w:r w:rsidR="009C58FF" w:rsidRPr="005A4AD5">
        <w:rPr>
          <w:color w:val="002060"/>
          <w:sz w:val="22"/>
          <w:szCs w:val="22"/>
        </w:rPr>
        <w:t>, but quality thermal management produces many</w:t>
      </w:r>
      <w:r w:rsidR="002C3CC1" w:rsidRPr="005A4AD5">
        <w:rPr>
          <w:color w:val="002060"/>
          <w:sz w:val="22"/>
          <w:szCs w:val="22"/>
        </w:rPr>
        <w:t xml:space="preserve"> benefits</w:t>
      </w:r>
      <w:r w:rsidRPr="005A4AD5">
        <w:rPr>
          <w:color w:val="002060"/>
          <w:sz w:val="22"/>
          <w:szCs w:val="22"/>
        </w:rPr>
        <w:t xml:space="preserve">. Some designs use specific </w:t>
      </w:r>
      <w:r w:rsidR="00D354EE" w:rsidRPr="005A4AD5">
        <w:rPr>
          <w:color w:val="002060"/>
          <w:sz w:val="22"/>
          <w:szCs w:val="22"/>
        </w:rPr>
        <w:t xml:space="preserve">highly conductive </w:t>
      </w:r>
      <w:r w:rsidR="00923F85" w:rsidRPr="005A4AD5">
        <w:rPr>
          <w:color w:val="002060"/>
          <w:sz w:val="22"/>
          <w:szCs w:val="22"/>
        </w:rPr>
        <w:t xml:space="preserve">materials </w:t>
      </w:r>
      <w:r w:rsidRPr="005A4AD5">
        <w:rPr>
          <w:color w:val="002060"/>
          <w:sz w:val="22"/>
          <w:szCs w:val="22"/>
        </w:rPr>
        <w:t>(solid state) to remove heat from cells</w:t>
      </w:r>
      <w:r w:rsidR="00D354EE" w:rsidRPr="005A4AD5">
        <w:rPr>
          <w:color w:val="002060"/>
          <w:sz w:val="22"/>
          <w:szCs w:val="22"/>
        </w:rPr>
        <w:t>.</w:t>
      </w:r>
      <w:r w:rsidRPr="005A4AD5">
        <w:rPr>
          <w:color w:val="002060"/>
          <w:sz w:val="22"/>
          <w:szCs w:val="22"/>
        </w:rPr>
        <w:t xml:space="preserve"> Other designs </w:t>
      </w:r>
      <w:r w:rsidR="00923F85" w:rsidRPr="005A4AD5">
        <w:rPr>
          <w:color w:val="002060"/>
          <w:sz w:val="22"/>
          <w:szCs w:val="22"/>
        </w:rPr>
        <w:t xml:space="preserve">may </w:t>
      </w:r>
      <w:r w:rsidRPr="005A4AD5">
        <w:rPr>
          <w:color w:val="002060"/>
          <w:sz w:val="22"/>
          <w:szCs w:val="22"/>
        </w:rPr>
        <w:t>use direct liquid cooling.</w:t>
      </w:r>
    </w:p>
    <w:p w:rsidR="00E00032" w:rsidRPr="005A4AD5" w:rsidRDefault="00E00032" w:rsidP="00A2331B">
      <w:pPr>
        <w:pStyle w:val="ListParagraph"/>
        <w:numPr>
          <w:ilvl w:val="0"/>
          <w:numId w:val="1"/>
        </w:numPr>
        <w:ind w:left="426"/>
        <w:rPr>
          <w:color w:val="002060"/>
          <w:sz w:val="22"/>
          <w:szCs w:val="22"/>
        </w:rPr>
      </w:pPr>
      <w:r w:rsidRPr="005A4AD5">
        <w:rPr>
          <w:color w:val="002060"/>
          <w:sz w:val="22"/>
          <w:szCs w:val="22"/>
        </w:rPr>
        <w:t xml:space="preserve">At a battery symposium at NAVSEA </w:t>
      </w:r>
      <w:proofErr w:type="spellStart"/>
      <w:r w:rsidRPr="005A4AD5">
        <w:rPr>
          <w:color w:val="002060"/>
          <w:sz w:val="22"/>
          <w:szCs w:val="22"/>
        </w:rPr>
        <w:t>Carderock</w:t>
      </w:r>
      <w:proofErr w:type="spellEnd"/>
      <w:r w:rsidRPr="005A4AD5">
        <w:rPr>
          <w:color w:val="002060"/>
          <w:sz w:val="22"/>
          <w:szCs w:val="22"/>
        </w:rPr>
        <w:t xml:space="preserve"> a few years ago.  The objective was to make batteries more power dense; however they had to be less flammable.  Based on materials at that time, these were diverging objectives. Are they still?</w:t>
      </w:r>
    </w:p>
    <w:p w:rsidR="00923F85" w:rsidRPr="005A4AD5" w:rsidRDefault="00D354EE" w:rsidP="00923F85">
      <w:pPr>
        <w:pStyle w:val="ListParagraph"/>
        <w:numPr>
          <w:ilvl w:val="1"/>
          <w:numId w:val="1"/>
        </w:numPr>
        <w:rPr>
          <w:color w:val="002060"/>
          <w:sz w:val="22"/>
          <w:szCs w:val="22"/>
        </w:rPr>
      </w:pPr>
      <w:r w:rsidRPr="005A4AD5">
        <w:rPr>
          <w:color w:val="002060"/>
          <w:sz w:val="22"/>
          <w:szCs w:val="22"/>
        </w:rPr>
        <w:t>Flammability levels are</w:t>
      </w:r>
      <w:r w:rsidR="00923F85" w:rsidRPr="005A4AD5">
        <w:rPr>
          <w:color w:val="002060"/>
          <w:sz w:val="22"/>
          <w:szCs w:val="22"/>
        </w:rPr>
        <w:t xml:space="preserve"> due to electrolyte and cathode chemistry. Many of the materials used for both of these components </w:t>
      </w:r>
      <w:r w:rsidR="009C58FF" w:rsidRPr="005A4AD5">
        <w:rPr>
          <w:color w:val="002060"/>
          <w:sz w:val="22"/>
          <w:szCs w:val="22"/>
        </w:rPr>
        <w:t xml:space="preserve">have remained </w:t>
      </w:r>
      <w:r w:rsidR="00923F85" w:rsidRPr="005A4AD5">
        <w:rPr>
          <w:color w:val="002060"/>
          <w:sz w:val="22"/>
          <w:szCs w:val="22"/>
        </w:rPr>
        <w:t>the same, but advancements in manufacturing and tweaks to chemical composition have significantly increased energy and power density.</w:t>
      </w:r>
      <w:r w:rsidR="00304F3E" w:rsidRPr="005A4AD5">
        <w:rPr>
          <w:color w:val="002060"/>
          <w:sz w:val="22"/>
          <w:szCs w:val="22"/>
        </w:rPr>
        <w:t xml:space="preserve"> Regardless, packing a greater amount of energy into the </w:t>
      </w:r>
      <w:r w:rsidR="009C58FF" w:rsidRPr="005A4AD5">
        <w:rPr>
          <w:color w:val="002060"/>
          <w:sz w:val="22"/>
          <w:szCs w:val="22"/>
        </w:rPr>
        <w:t>same volume of space will</w:t>
      </w:r>
      <w:r w:rsidR="00304F3E" w:rsidRPr="005A4AD5">
        <w:rPr>
          <w:color w:val="002060"/>
          <w:sz w:val="22"/>
          <w:szCs w:val="22"/>
        </w:rPr>
        <w:t xml:space="preserve"> increas</w:t>
      </w:r>
      <w:r w:rsidR="009C58FF" w:rsidRPr="005A4AD5">
        <w:rPr>
          <w:color w:val="002060"/>
          <w:sz w:val="22"/>
          <w:szCs w:val="22"/>
        </w:rPr>
        <w:t>e the</w:t>
      </w:r>
      <w:r w:rsidR="00304F3E" w:rsidRPr="005A4AD5">
        <w:rPr>
          <w:color w:val="002060"/>
          <w:sz w:val="22"/>
          <w:szCs w:val="22"/>
        </w:rPr>
        <w:t xml:space="preserve"> risk/threat level.</w:t>
      </w:r>
    </w:p>
    <w:p w:rsidR="00E00032" w:rsidRPr="005A4AD5" w:rsidRDefault="00E00032" w:rsidP="00A2331B">
      <w:pPr>
        <w:ind w:left="426"/>
        <w:rPr>
          <w:rFonts w:ascii="Times New Roman" w:hAnsi="Times New Roman" w:cs="Times New Roman"/>
          <w:color w:val="002060"/>
        </w:rPr>
      </w:pPr>
    </w:p>
    <w:p w:rsidR="00F31AF3" w:rsidRPr="005A4AD5" w:rsidRDefault="00E00032" w:rsidP="00A2331B">
      <w:pPr>
        <w:ind w:left="426"/>
        <w:rPr>
          <w:rFonts w:ascii="Times New Roman" w:hAnsi="Times New Roman" w:cs="Times New Roman"/>
        </w:rPr>
      </w:pPr>
      <w:r w:rsidRPr="005A4AD5">
        <w:rPr>
          <w:rFonts w:ascii="Times New Roman" w:hAnsi="Times New Roman" w:cs="Times New Roman"/>
          <w:noProof/>
        </w:rPr>
        <w:drawing>
          <wp:inline distT="0" distB="0" distL="0" distR="0">
            <wp:extent cx="4398645" cy="3020060"/>
            <wp:effectExtent l="0" t="0" r="1905" b="8890"/>
            <wp:docPr id="1" name="Picture 1" descr="C:\Users\Sujit.Ghosh\AppData\Local\Microsoft\Windows\Temporary Internet Files\Content.Outlook\SOZOZG5A\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jit.Ghosh\AppData\Local\Microsoft\Windows\Temporary Internet Files\Content.Outlook\SOZOZG5A\image00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98645" cy="3020060"/>
                    </a:xfrm>
                    <a:prstGeom prst="rect">
                      <a:avLst/>
                    </a:prstGeom>
                    <a:noFill/>
                    <a:ln>
                      <a:noFill/>
                    </a:ln>
                  </pic:spPr>
                </pic:pic>
              </a:graphicData>
            </a:graphic>
          </wp:inline>
        </w:drawing>
      </w:r>
    </w:p>
    <w:sectPr w:rsidR="00F31AF3" w:rsidRPr="005A4A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BC8" w:rsidRDefault="00623BC8" w:rsidP="00D354EE">
      <w:pPr>
        <w:spacing w:after="0" w:line="240" w:lineRule="auto"/>
      </w:pPr>
      <w:r>
        <w:separator/>
      </w:r>
    </w:p>
  </w:endnote>
  <w:endnote w:type="continuationSeparator" w:id="0">
    <w:p w:rsidR="00623BC8" w:rsidRDefault="00623BC8" w:rsidP="00D35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BC8" w:rsidRDefault="00623BC8" w:rsidP="00D354EE">
      <w:pPr>
        <w:spacing w:after="0" w:line="240" w:lineRule="auto"/>
      </w:pPr>
      <w:r>
        <w:separator/>
      </w:r>
    </w:p>
  </w:footnote>
  <w:footnote w:type="continuationSeparator" w:id="0">
    <w:p w:rsidR="00623BC8" w:rsidRDefault="00623BC8" w:rsidP="00D354EE">
      <w:pPr>
        <w:spacing w:after="0" w:line="240" w:lineRule="auto"/>
      </w:pPr>
      <w:r>
        <w:continuationSeparator/>
      </w:r>
    </w:p>
  </w:footnote>
  <w:footnote w:id="1">
    <w:p w:rsidR="00D354EE" w:rsidRPr="00D354EE" w:rsidRDefault="00D354EE">
      <w:pPr>
        <w:pStyle w:val="FootnoteText"/>
      </w:pPr>
      <w:r>
        <w:rPr>
          <w:rStyle w:val="FootnoteReference"/>
        </w:rPr>
        <w:footnoteRef/>
      </w:r>
      <w:r>
        <w:t xml:space="preserve"> DNV GL c</w:t>
      </w:r>
      <w:r w:rsidRPr="00D354EE">
        <w:t xml:space="preserve">lass rules also </w:t>
      </w:r>
      <w:r>
        <w:t>free/</w:t>
      </w:r>
      <w:r w:rsidRPr="00D354EE">
        <w:t xml:space="preserve">publicly available: </w:t>
      </w:r>
      <w:hyperlink r:id="rId1" w:history="1">
        <w:r>
          <w:rPr>
            <w:rStyle w:val="Hyperlink"/>
          </w:rPr>
          <w:t>http://rules.dnvgl.com/docs/pdf/DNVGL/RU-SHIP/2016-07/DNVGL-RU-SHIP-Pt6Ch2.pdf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26440"/>
    <w:multiLevelType w:val="hybridMultilevel"/>
    <w:tmpl w:val="708C32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032"/>
    <w:rsid w:val="00053262"/>
    <w:rsid w:val="001D6E7F"/>
    <w:rsid w:val="002C3CC1"/>
    <w:rsid w:val="00304F3E"/>
    <w:rsid w:val="00314AD6"/>
    <w:rsid w:val="003633AA"/>
    <w:rsid w:val="00371D78"/>
    <w:rsid w:val="004621BD"/>
    <w:rsid w:val="0050177A"/>
    <w:rsid w:val="005A4AD5"/>
    <w:rsid w:val="00623BC8"/>
    <w:rsid w:val="0074062E"/>
    <w:rsid w:val="00811010"/>
    <w:rsid w:val="0089213E"/>
    <w:rsid w:val="00923F85"/>
    <w:rsid w:val="009C58FF"/>
    <w:rsid w:val="009D07B3"/>
    <w:rsid w:val="00A2331B"/>
    <w:rsid w:val="00A90A40"/>
    <w:rsid w:val="00C109FB"/>
    <w:rsid w:val="00C13183"/>
    <w:rsid w:val="00D354EE"/>
    <w:rsid w:val="00E00032"/>
    <w:rsid w:val="00E87473"/>
    <w:rsid w:val="00F10F8D"/>
    <w:rsid w:val="00F31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032"/>
    <w:pPr>
      <w:spacing w:after="0" w:line="240" w:lineRule="auto"/>
      <w:ind w:left="720"/>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000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032"/>
    <w:rPr>
      <w:rFonts w:ascii="Tahoma" w:hAnsi="Tahoma" w:cs="Tahoma"/>
      <w:sz w:val="16"/>
      <w:szCs w:val="16"/>
    </w:rPr>
  </w:style>
  <w:style w:type="character" w:styleId="Hyperlink">
    <w:name w:val="Hyperlink"/>
    <w:basedOn w:val="DefaultParagraphFont"/>
    <w:uiPriority w:val="99"/>
    <w:unhideWhenUsed/>
    <w:rsid w:val="00D354EE"/>
    <w:rPr>
      <w:color w:val="0000FF" w:themeColor="hyperlink"/>
      <w:u w:val="single"/>
    </w:rPr>
  </w:style>
  <w:style w:type="paragraph" w:styleId="FootnoteText">
    <w:name w:val="footnote text"/>
    <w:basedOn w:val="Normal"/>
    <w:link w:val="FootnoteTextChar"/>
    <w:uiPriority w:val="99"/>
    <w:semiHidden/>
    <w:unhideWhenUsed/>
    <w:rsid w:val="00D354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54EE"/>
    <w:rPr>
      <w:sz w:val="20"/>
      <w:szCs w:val="20"/>
    </w:rPr>
  </w:style>
  <w:style w:type="character" w:styleId="FootnoteReference">
    <w:name w:val="footnote reference"/>
    <w:basedOn w:val="DefaultParagraphFont"/>
    <w:uiPriority w:val="99"/>
    <w:semiHidden/>
    <w:unhideWhenUsed/>
    <w:rsid w:val="00D354EE"/>
    <w:rPr>
      <w:vertAlign w:val="superscript"/>
    </w:rPr>
  </w:style>
  <w:style w:type="paragraph" w:styleId="BodyText">
    <w:name w:val="Body Text"/>
    <w:basedOn w:val="Normal"/>
    <w:link w:val="BodyTextChar"/>
    <w:qFormat/>
    <w:rsid w:val="0050177A"/>
    <w:pPr>
      <w:spacing w:before="40" w:after="140" w:line="280" w:lineRule="atLeast"/>
    </w:pPr>
    <w:rPr>
      <w:rFonts w:ascii="Verdana" w:eastAsia="SimSun" w:hAnsi="Verdana" w:cs="Verdana"/>
      <w:sz w:val="18"/>
      <w:szCs w:val="18"/>
      <w:lang w:val="en-GB" w:eastAsia="zh-CN"/>
    </w:rPr>
  </w:style>
  <w:style w:type="character" w:customStyle="1" w:styleId="BodyTextChar">
    <w:name w:val="Body Text Char"/>
    <w:basedOn w:val="DefaultParagraphFont"/>
    <w:link w:val="BodyText"/>
    <w:rsid w:val="0050177A"/>
    <w:rPr>
      <w:rFonts w:ascii="Verdana" w:eastAsia="SimSun" w:hAnsi="Verdana" w:cs="Verdana"/>
      <w:sz w:val="18"/>
      <w:szCs w:val="18"/>
      <w:lang w:val="en-GB" w:eastAsia="zh-CN"/>
    </w:rPr>
  </w:style>
  <w:style w:type="table" w:styleId="TableGrid">
    <w:name w:val="Table Grid"/>
    <w:basedOn w:val="TableNormal"/>
    <w:rsid w:val="0050177A"/>
    <w:pPr>
      <w:spacing w:after="0" w:line="240" w:lineRule="auto"/>
    </w:pPr>
    <w:rPr>
      <w:rFonts w:ascii="Calibri" w:eastAsia="SimSun" w:hAnsi="Calibri"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032"/>
    <w:pPr>
      <w:spacing w:after="0" w:line="240" w:lineRule="auto"/>
      <w:ind w:left="720"/>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000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032"/>
    <w:rPr>
      <w:rFonts w:ascii="Tahoma" w:hAnsi="Tahoma" w:cs="Tahoma"/>
      <w:sz w:val="16"/>
      <w:szCs w:val="16"/>
    </w:rPr>
  </w:style>
  <w:style w:type="character" w:styleId="Hyperlink">
    <w:name w:val="Hyperlink"/>
    <w:basedOn w:val="DefaultParagraphFont"/>
    <w:uiPriority w:val="99"/>
    <w:unhideWhenUsed/>
    <w:rsid w:val="00D354EE"/>
    <w:rPr>
      <w:color w:val="0000FF" w:themeColor="hyperlink"/>
      <w:u w:val="single"/>
    </w:rPr>
  </w:style>
  <w:style w:type="paragraph" w:styleId="FootnoteText">
    <w:name w:val="footnote text"/>
    <w:basedOn w:val="Normal"/>
    <w:link w:val="FootnoteTextChar"/>
    <w:uiPriority w:val="99"/>
    <w:semiHidden/>
    <w:unhideWhenUsed/>
    <w:rsid w:val="00D354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54EE"/>
    <w:rPr>
      <w:sz w:val="20"/>
      <w:szCs w:val="20"/>
    </w:rPr>
  </w:style>
  <w:style w:type="character" w:styleId="FootnoteReference">
    <w:name w:val="footnote reference"/>
    <w:basedOn w:val="DefaultParagraphFont"/>
    <w:uiPriority w:val="99"/>
    <w:semiHidden/>
    <w:unhideWhenUsed/>
    <w:rsid w:val="00D354EE"/>
    <w:rPr>
      <w:vertAlign w:val="superscript"/>
    </w:rPr>
  </w:style>
  <w:style w:type="paragraph" w:styleId="BodyText">
    <w:name w:val="Body Text"/>
    <w:basedOn w:val="Normal"/>
    <w:link w:val="BodyTextChar"/>
    <w:qFormat/>
    <w:rsid w:val="0050177A"/>
    <w:pPr>
      <w:spacing w:before="40" w:after="140" w:line="280" w:lineRule="atLeast"/>
    </w:pPr>
    <w:rPr>
      <w:rFonts w:ascii="Verdana" w:eastAsia="SimSun" w:hAnsi="Verdana" w:cs="Verdana"/>
      <w:sz w:val="18"/>
      <w:szCs w:val="18"/>
      <w:lang w:val="en-GB" w:eastAsia="zh-CN"/>
    </w:rPr>
  </w:style>
  <w:style w:type="character" w:customStyle="1" w:styleId="BodyTextChar">
    <w:name w:val="Body Text Char"/>
    <w:basedOn w:val="DefaultParagraphFont"/>
    <w:link w:val="BodyText"/>
    <w:rsid w:val="0050177A"/>
    <w:rPr>
      <w:rFonts w:ascii="Verdana" w:eastAsia="SimSun" w:hAnsi="Verdana" w:cs="Verdana"/>
      <w:sz w:val="18"/>
      <w:szCs w:val="18"/>
      <w:lang w:val="en-GB" w:eastAsia="zh-CN"/>
    </w:rPr>
  </w:style>
  <w:style w:type="table" w:styleId="TableGrid">
    <w:name w:val="Table Grid"/>
    <w:basedOn w:val="TableNormal"/>
    <w:rsid w:val="0050177A"/>
    <w:pPr>
      <w:spacing w:after="0" w:line="240" w:lineRule="auto"/>
    </w:pPr>
    <w:rPr>
      <w:rFonts w:ascii="Calibri" w:eastAsia="SimSun" w:hAnsi="Calibri"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18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rules.dnvgl.com/docs/pdf/dnvgl/cp/2015-12/dnvgl-cp-0418.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rules.dnvgl.com/docs/pdf/DNVGL/RU-SHIP/2016-07/DNVGL-RU-SHIP-Pt6Ch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F4DD6-B449-456F-A98C-F1DC28E8A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1060</Words>
  <Characters>6042</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7088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USDOT_User</dc:creator>
  <cp:lastModifiedBy>USDOT_User</cp:lastModifiedBy>
  <cp:revision>2</cp:revision>
  <dcterms:created xsi:type="dcterms:W3CDTF">2017-04-26T13:32:00Z</dcterms:created>
  <dcterms:modified xsi:type="dcterms:W3CDTF">2017-04-26T13:32:00Z</dcterms:modified>
</cp:coreProperties>
</file>