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927EA" w14:textId="31C4A0AF" w:rsidR="00396743" w:rsidRDefault="007442FA" w:rsidP="000F1A32">
      <w:pPr>
        <w:spacing w:after="0" w:line="240" w:lineRule="auto"/>
        <w:jc w:val="left"/>
        <w:rPr>
          <w:b/>
          <w:sz w:val="32"/>
        </w:rPr>
      </w:pPr>
      <w:bookmarkStart w:id="0" w:name="_GoBack"/>
      <w:bookmarkEnd w:id="0"/>
      <w:r>
        <w:rPr>
          <w:b/>
          <w:sz w:val="32"/>
        </w:rPr>
        <w:t>Life Cycle Assessment of Greenhouse Gas and Criteria Air Pollutant Emissions from Conventional and Bio</w:t>
      </w:r>
      <w:r w:rsidR="006057C7">
        <w:rPr>
          <w:b/>
          <w:sz w:val="32"/>
        </w:rPr>
        <w:t>b</w:t>
      </w:r>
      <w:r>
        <w:rPr>
          <w:b/>
          <w:sz w:val="32"/>
        </w:rPr>
        <w:t>ased Marine Fuels</w:t>
      </w:r>
      <w:r w:rsidR="002A2264">
        <w:rPr>
          <w:b/>
          <w:sz w:val="32"/>
        </w:rPr>
        <w:t xml:space="preserve"> </w:t>
      </w:r>
      <w:r w:rsidR="00396743" w:rsidRPr="00396743">
        <w:rPr>
          <w:b/>
          <w:sz w:val="32"/>
        </w:rPr>
        <w:t xml:space="preserve"> </w:t>
      </w:r>
    </w:p>
    <w:p w14:paraId="711784DC" w14:textId="77777777" w:rsidR="000F1A32" w:rsidRDefault="000F1A32" w:rsidP="000F1A32">
      <w:pPr>
        <w:spacing w:after="0" w:line="240" w:lineRule="auto"/>
      </w:pPr>
    </w:p>
    <w:p w14:paraId="35AB4BC6" w14:textId="36079AD9" w:rsidR="00F44696" w:rsidRDefault="000F1A32" w:rsidP="000F1A32">
      <w:pPr>
        <w:spacing w:after="0" w:line="240" w:lineRule="auto"/>
      </w:pPr>
      <w:r>
        <w:t>Troy R. Hawkins</w:t>
      </w:r>
      <w:r w:rsidRPr="000F1A32">
        <w:rPr>
          <w:vertAlign w:val="superscript"/>
        </w:rPr>
        <w:t>1</w:t>
      </w:r>
      <w:r>
        <w:t>, Uisung Lee</w:t>
      </w:r>
      <w:r w:rsidRPr="000F1A32">
        <w:rPr>
          <w:vertAlign w:val="superscript"/>
        </w:rPr>
        <w:t>1</w:t>
      </w:r>
      <w:r>
        <w:t>, Michael Wang</w:t>
      </w:r>
      <w:r w:rsidR="002F6BB0" w:rsidRPr="002F6BB0">
        <w:rPr>
          <w:vertAlign w:val="superscript"/>
        </w:rPr>
        <w:t>1</w:t>
      </w:r>
      <w:r>
        <w:t>, and Tom Thompson</w:t>
      </w:r>
      <w:r>
        <w:rPr>
          <w:vertAlign w:val="superscript"/>
        </w:rPr>
        <w:t>2</w:t>
      </w:r>
    </w:p>
    <w:p w14:paraId="2AC1F767" w14:textId="145FE537" w:rsidR="000F1A32" w:rsidRPr="002A2743" w:rsidRDefault="000F1A32" w:rsidP="000F1A32">
      <w:pPr>
        <w:spacing w:after="0" w:line="240" w:lineRule="auto"/>
        <w:rPr>
          <w:i/>
        </w:rPr>
      </w:pPr>
      <w:r w:rsidRPr="002A2743">
        <w:rPr>
          <w:i/>
          <w:vertAlign w:val="superscript"/>
        </w:rPr>
        <w:t>1</w:t>
      </w:r>
      <w:r w:rsidRPr="002A2743">
        <w:rPr>
          <w:i/>
        </w:rPr>
        <w:t>Argonne National Laboratory, U.S. Dept. of Energy</w:t>
      </w:r>
    </w:p>
    <w:p w14:paraId="72177C8B" w14:textId="17B97DA7" w:rsidR="000F1A32" w:rsidRPr="002A2743" w:rsidRDefault="000F1A32" w:rsidP="000F1A32">
      <w:pPr>
        <w:spacing w:after="0" w:line="240" w:lineRule="auto"/>
        <w:rPr>
          <w:i/>
        </w:rPr>
      </w:pPr>
      <w:r w:rsidRPr="002A2743">
        <w:rPr>
          <w:i/>
          <w:vertAlign w:val="superscript"/>
        </w:rPr>
        <w:t>2</w:t>
      </w:r>
      <w:r w:rsidRPr="002A2743">
        <w:rPr>
          <w:i/>
        </w:rPr>
        <w:t>Maritime Administration, U.S. Dept. of Transportation</w:t>
      </w:r>
    </w:p>
    <w:p w14:paraId="53E34C56" w14:textId="561C19DB" w:rsidR="000F1A32" w:rsidRDefault="000F1A32" w:rsidP="000F1A32">
      <w:pPr>
        <w:spacing w:after="0" w:line="240" w:lineRule="auto"/>
        <w:jc w:val="left"/>
        <w:rPr>
          <w:b/>
          <w:sz w:val="28"/>
        </w:rPr>
      </w:pPr>
    </w:p>
    <w:p w14:paraId="0F18CC17" w14:textId="77777777" w:rsidR="003D75AB" w:rsidRDefault="003D75AB" w:rsidP="000F1A32">
      <w:pPr>
        <w:spacing w:after="0" w:line="240" w:lineRule="auto"/>
        <w:jc w:val="left"/>
        <w:rPr>
          <w:b/>
          <w:sz w:val="28"/>
        </w:rPr>
      </w:pPr>
    </w:p>
    <w:p w14:paraId="1E328FF8" w14:textId="76B5C09D" w:rsidR="004A14C9" w:rsidRPr="00C51EBD" w:rsidRDefault="004A14C9" w:rsidP="00C51EBD">
      <w:pPr>
        <w:pStyle w:val="Heading1"/>
      </w:pPr>
      <w:r w:rsidRPr="00C51EBD">
        <w:t>Introduction</w:t>
      </w:r>
      <w:r w:rsidR="0088669D" w:rsidRPr="00C51EBD">
        <w:t xml:space="preserve"> </w:t>
      </w:r>
    </w:p>
    <w:p w14:paraId="1E17099F" w14:textId="15A5AC44" w:rsidR="006908EF" w:rsidRDefault="00C85C8F" w:rsidP="006908EF">
      <w:pPr>
        <w:rPr>
          <w:rFonts w:cstheme="minorHAnsi"/>
        </w:rPr>
      </w:pPr>
      <w:r>
        <w:rPr>
          <w:rFonts w:cstheme="minorHAnsi"/>
        </w:rPr>
        <w:t xml:space="preserve">Marine fuels are a </w:t>
      </w:r>
      <w:r w:rsidR="0046075A">
        <w:rPr>
          <w:rFonts w:cstheme="minorHAnsi"/>
        </w:rPr>
        <w:t>major</w:t>
      </w:r>
      <w:r>
        <w:rPr>
          <w:rFonts w:cstheme="minorHAnsi"/>
        </w:rPr>
        <w:t xml:space="preserve"> source of pollutant emissions. </w:t>
      </w:r>
      <w:r w:rsidR="0046075A">
        <w:rPr>
          <w:rFonts w:cstheme="minorHAnsi"/>
        </w:rPr>
        <w:t xml:space="preserve">Global shipping contributes 13% of human-caused emissions of sulfur oxides (Sofiev 2018) and 2.6% of human-caused carbon dioxide emissions (Olmer 2017). </w:t>
      </w:r>
      <w:r w:rsidR="006908EF" w:rsidRPr="00CB22BC">
        <w:rPr>
          <w:rFonts w:cstheme="minorHAnsi"/>
        </w:rPr>
        <w:t>The marine shipping sector</w:t>
      </w:r>
      <w:r w:rsidR="006908EF">
        <w:rPr>
          <w:rFonts w:cstheme="minorHAnsi"/>
        </w:rPr>
        <w:t xml:space="preserve"> is responsible for transporting 90% of world’s goods and</w:t>
      </w:r>
      <w:r w:rsidR="006908EF" w:rsidRPr="00CB22BC">
        <w:rPr>
          <w:rFonts w:cstheme="minorHAnsi"/>
        </w:rPr>
        <w:t xml:space="preserve"> is one of the largest consumers of petroleum fuels</w:t>
      </w:r>
      <w:r w:rsidR="006908EF">
        <w:rPr>
          <w:rFonts w:cstheme="minorHAnsi"/>
        </w:rPr>
        <w:t xml:space="preserve">. </w:t>
      </w:r>
      <w:r w:rsidR="002D542A" w:rsidRPr="00EE245D">
        <w:rPr>
          <w:rFonts w:cstheme="minorHAnsi"/>
        </w:rPr>
        <w:t>Global marine fuel consumption is estimated to be around 330 million metric tons (87 billion gallons) annually and</w:t>
      </w:r>
      <w:r w:rsidR="002D542A">
        <w:rPr>
          <w:rFonts w:cstheme="minorHAnsi"/>
        </w:rPr>
        <w:t xml:space="preserve"> is expected to double in the next 20 years. The fuel used by the marine shipping sector is primarily heavy fuel oil (HFO), which is a residual of the refinery process which contains many of the undesirable impurities separated from other refinery products. </w:t>
      </w:r>
      <w:r w:rsidR="006908EF" w:rsidRPr="00165C49">
        <w:rPr>
          <w:rFonts w:cstheme="minorHAnsi"/>
        </w:rPr>
        <w:t xml:space="preserve">The International Maritime Organization (IMO) has set emission targets to reduce global marine fuel sulfur content from current 3.5% to 0.5% by weight </w:t>
      </w:r>
      <w:r w:rsidR="002D542A">
        <w:rPr>
          <w:rFonts w:cstheme="minorHAnsi"/>
        </w:rPr>
        <w:t xml:space="preserve">in 2020. </w:t>
      </w:r>
      <w:r w:rsidR="006908EF" w:rsidRPr="00165C49">
        <w:rPr>
          <w:rFonts w:cstheme="minorHAnsi"/>
        </w:rPr>
        <w:t xml:space="preserve">In addition, in the U.S., the California Air Resources Board (CARB) and other state agencies have established regulations limiting the sulfur content of fuel used in coastal regions to 0.1%. </w:t>
      </w:r>
      <w:r w:rsidR="006908EF">
        <w:rPr>
          <w:rFonts w:cstheme="minorHAnsi"/>
        </w:rPr>
        <w:t>These</w:t>
      </w:r>
      <w:r w:rsidR="006908EF" w:rsidRPr="0022411A">
        <w:rPr>
          <w:rFonts w:cstheme="minorHAnsi"/>
        </w:rPr>
        <w:t xml:space="preserve"> regulations </w:t>
      </w:r>
      <w:r w:rsidR="006908EF">
        <w:rPr>
          <w:rFonts w:cstheme="minorHAnsi"/>
        </w:rPr>
        <w:t>will</w:t>
      </w:r>
      <w:r w:rsidR="006908EF" w:rsidRPr="0022411A">
        <w:rPr>
          <w:rFonts w:cstheme="minorHAnsi"/>
        </w:rPr>
        <w:t xml:space="preserve"> </w:t>
      </w:r>
      <w:r w:rsidR="002D542A">
        <w:rPr>
          <w:rFonts w:cstheme="minorHAnsi"/>
        </w:rPr>
        <w:t xml:space="preserve">require </w:t>
      </w:r>
      <w:r w:rsidR="006908EF" w:rsidRPr="0022411A">
        <w:rPr>
          <w:rFonts w:cstheme="minorHAnsi"/>
        </w:rPr>
        <w:t>shipowner</w:t>
      </w:r>
      <w:r w:rsidR="006908EF">
        <w:rPr>
          <w:rFonts w:cstheme="minorHAnsi"/>
        </w:rPr>
        <w:t>s</w:t>
      </w:r>
      <w:r w:rsidR="006908EF" w:rsidRPr="0022411A">
        <w:rPr>
          <w:rFonts w:cstheme="minorHAnsi"/>
        </w:rPr>
        <w:t xml:space="preserve"> to </w:t>
      </w:r>
      <w:r w:rsidR="002D542A">
        <w:rPr>
          <w:rFonts w:cstheme="minorHAnsi"/>
        </w:rPr>
        <w:t xml:space="preserve">find alternative fuel pathways. The options include low-sulfur HFO, low-sulfur marine gas oil, installing sulfur scrubbers, or other alternative fuels/powertrains. Biofuels offer a possible alternative. </w:t>
      </w:r>
      <w:r w:rsidR="006908EF" w:rsidRPr="0022411A">
        <w:rPr>
          <w:rFonts w:cstheme="minorHAnsi"/>
        </w:rPr>
        <w:t xml:space="preserve">The expected higher </w:t>
      </w:r>
      <w:r w:rsidR="00DC4207">
        <w:rPr>
          <w:rFonts w:cstheme="minorHAnsi"/>
        </w:rPr>
        <w:t xml:space="preserve">costs for low-sulfur marine </w:t>
      </w:r>
      <w:r w:rsidR="006908EF" w:rsidRPr="0022411A">
        <w:rPr>
          <w:rFonts w:cstheme="minorHAnsi"/>
        </w:rPr>
        <w:t>fuel</w:t>
      </w:r>
      <w:r w:rsidR="00DC4207">
        <w:rPr>
          <w:rFonts w:cstheme="minorHAnsi"/>
        </w:rPr>
        <w:t>s</w:t>
      </w:r>
      <w:r w:rsidR="006908EF" w:rsidRPr="0022411A">
        <w:rPr>
          <w:rFonts w:cstheme="minorHAnsi"/>
        </w:rPr>
        <w:t xml:space="preserve">, </w:t>
      </w:r>
      <w:r w:rsidR="00DC4207">
        <w:rPr>
          <w:rFonts w:cstheme="minorHAnsi"/>
        </w:rPr>
        <w:t xml:space="preserve">other forthcoming </w:t>
      </w:r>
      <w:r w:rsidR="006908EF" w:rsidRPr="0022411A">
        <w:rPr>
          <w:rFonts w:cstheme="minorHAnsi"/>
        </w:rPr>
        <w:t xml:space="preserve">emission regulations, and the additional processing </w:t>
      </w:r>
      <w:r w:rsidR="00DC4207">
        <w:rPr>
          <w:rFonts w:cstheme="minorHAnsi"/>
        </w:rPr>
        <w:t xml:space="preserve">associated with </w:t>
      </w:r>
      <w:r w:rsidR="006908EF" w:rsidRPr="0022411A">
        <w:rPr>
          <w:rFonts w:cstheme="minorHAnsi"/>
        </w:rPr>
        <w:t xml:space="preserve">HFO, </w:t>
      </w:r>
      <w:r w:rsidR="00DC4207">
        <w:rPr>
          <w:rFonts w:cstheme="minorHAnsi"/>
        </w:rPr>
        <w:t xml:space="preserve">could </w:t>
      </w:r>
      <w:r w:rsidR="006908EF" w:rsidRPr="0022411A">
        <w:rPr>
          <w:rFonts w:cstheme="minorHAnsi"/>
        </w:rPr>
        <w:t>provide a new market opportunity for</w:t>
      </w:r>
      <w:r w:rsidR="006908EF">
        <w:rPr>
          <w:rFonts w:cstheme="minorHAnsi"/>
        </w:rPr>
        <w:t xml:space="preserve"> biofuels, which have</w:t>
      </w:r>
      <w:r w:rsidR="006908EF" w:rsidRPr="0022411A">
        <w:rPr>
          <w:rFonts w:cstheme="minorHAnsi"/>
        </w:rPr>
        <w:t xml:space="preserve"> inherently low sulfur content and potential to reduce </w:t>
      </w:r>
      <w:r w:rsidR="006908EF">
        <w:rPr>
          <w:rFonts w:cstheme="minorHAnsi"/>
        </w:rPr>
        <w:t>particulate matter</w:t>
      </w:r>
      <w:r w:rsidR="006908EF" w:rsidRPr="0022411A">
        <w:rPr>
          <w:rFonts w:cstheme="minorHAnsi"/>
        </w:rPr>
        <w:t xml:space="preserve"> emissions.</w:t>
      </w:r>
      <w:r w:rsidR="00DC4207">
        <w:rPr>
          <w:rFonts w:cstheme="minorHAnsi"/>
        </w:rPr>
        <w:t xml:space="preserve"> In addition, biofuels offer the potential to reduce net carbon dioxide emissions due to the uptake of carbon from the atmosphere during biomass growth.</w:t>
      </w:r>
    </w:p>
    <w:p w14:paraId="34455FE0" w14:textId="77777777" w:rsidR="00DC4207" w:rsidRDefault="00454492" w:rsidP="000F1A32">
      <w:pPr>
        <w:spacing w:after="0" w:line="240" w:lineRule="auto"/>
      </w:pPr>
      <w:r>
        <w:t>The objective</w:t>
      </w:r>
      <w:r w:rsidR="00416025">
        <w:t xml:space="preserve"> of this study is to estimate </w:t>
      </w:r>
      <w:r w:rsidR="006057C7">
        <w:t xml:space="preserve">the </w:t>
      </w:r>
      <w:r w:rsidR="00416025">
        <w:t>life-cycle</w:t>
      </w:r>
      <w:r w:rsidR="00510A41">
        <w:t xml:space="preserve"> greenhouse gas</w:t>
      </w:r>
      <w:r w:rsidR="00416025">
        <w:t xml:space="preserve"> </w:t>
      </w:r>
      <w:r w:rsidR="00510A41">
        <w:t>(</w:t>
      </w:r>
      <w:r w:rsidR="00416025">
        <w:t>GHG</w:t>
      </w:r>
      <w:r w:rsidR="00510A41">
        <w:t>)</w:t>
      </w:r>
      <w:r w:rsidR="00416025">
        <w:t xml:space="preserve"> and </w:t>
      </w:r>
      <w:r w:rsidR="00510A41">
        <w:t>criteria air pollutant (</w:t>
      </w:r>
      <w:r w:rsidR="00416025">
        <w:t>CAP</w:t>
      </w:r>
      <w:r w:rsidR="00510A41">
        <w:t>)</w:t>
      </w:r>
      <w:r w:rsidR="00416025">
        <w:t xml:space="preserve"> emissions of </w:t>
      </w:r>
      <w:r w:rsidR="006057C7">
        <w:t xml:space="preserve">conventional and biobased </w:t>
      </w:r>
      <w:r w:rsidR="00416025">
        <w:t>marine fuel</w:t>
      </w:r>
      <w:r w:rsidR="0048192B">
        <w:t>s</w:t>
      </w:r>
      <w:r w:rsidR="003E2C40">
        <w:t xml:space="preserve">. </w:t>
      </w:r>
      <w:r w:rsidR="00DC4207">
        <w:t xml:space="preserve">This study is performed in parallel with efforts at the National Renewable Energy Laboratory and Pacific Northwest National Laboratory to estimate the potential costs of biofuel options via techno-economic analysis. The fuel options considered in the report include conventional HFO and marine gas oil as well as low sulfur versions of HFO and marine gas oil, several biofuel pathways, and natural gas. The biofuels considered in this report are considered to be potential drop in fuels compatible for use in marine engines, however further work is needed to confirm compatibility and to address any potential issues which could be caused by differences in their properties. </w:t>
      </w:r>
    </w:p>
    <w:p w14:paraId="093AB555" w14:textId="77777777" w:rsidR="00DC4207" w:rsidRDefault="00DC4207" w:rsidP="000F1A32">
      <w:pPr>
        <w:spacing w:after="0" w:line="240" w:lineRule="auto"/>
      </w:pPr>
    </w:p>
    <w:p w14:paraId="2C44DD41" w14:textId="3BE827E4" w:rsidR="003A04B9" w:rsidRDefault="00DC4207" w:rsidP="000F1A32">
      <w:pPr>
        <w:spacing w:after="0" w:line="240" w:lineRule="auto"/>
      </w:pPr>
      <w:r>
        <w:t xml:space="preserve">These pathways are evaluated using a new version of the GREET marine fuels module developed for this project. This new module includes several new marine biofuel pathways as well as updated pathways for conventional marine fuels and natural gas as a marine fuel. </w:t>
      </w:r>
      <w:r w:rsidR="00416025">
        <w:t xml:space="preserve">We updated the combustion emission factors using the best available data. </w:t>
      </w:r>
    </w:p>
    <w:p w14:paraId="544F2746" w14:textId="3584AB4E" w:rsidR="00E17692" w:rsidRDefault="00E17692" w:rsidP="000F1A32">
      <w:pPr>
        <w:spacing w:after="0" w:line="240" w:lineRule="auto"/>
      </w:pPr>
    </w:p>
    <w:p w14:paraId="3DACACD9" w14:textId="2D17EDEA" w:rsidR="00E17692" w:rsidRDefault="00E17692" w:rsidP="000F1A32">
      <w:pPr>
        <w:spacing w:after="0" w:line="240" w:lineRule="auto"/>
      </w:pPr>
      <w:r>
        <w:t xml:space="preserve">The scope of this study includes the well-to-hull emissions of each fuel option. Supply chain emissions are included for petroleum extraction and refining, biofuel feedstock growth, harvesting, and conversion, as well as natural gas extraction and liquefaction. Use phase emissions are based on the best available emissions factors, however in several cases conventional diesel emissions are used as a proxy for emissions from biobased diesel. </w:t>
      </w:r>
      <w:r w:rsidR="00185D26">
        <w:t xml:space="preserve">The infrastructure associated with fuel production and distribution as well as fuel-specific handling requirements are outside the scope of this study. The findings of this study are meant to </w:t>
      </w:r>
      <w:r w:rsidR="00185D26">
        <w:lastRenderedPageBreak/>
        <w:t>gauge the potential emissions benefits associated with the use of biofuels for marine transportation and to identify tradeoffs amongst fuel options.</w:t>
      </w:r>
    </w:p>
    <w:p w14:paraId="245440EA" w14:textId="0E44585E" w:rsidR="00416025" w:rsidRDefault="00416025" w:rsidP="000F1A32">
      <w:pPr>
        <w:spacing w:after="0" w:line="240" w:lineRule="auto"/>
      </w:pPr>
    </w:p>
    <w:p w14:paraId="6EFED733" w14:textId="77777777" w:rsidR="0068644D" w:rsidRDefault="0068644D" w:rsidP="000F1A32">
      <w:pPr>
        <w:spacing w:after="0" w:line="240" w:lineRule="auto"/>
      </w:pPr>
    </w:p>
    <w:p w14:paraId="307BDC60" w14:textId="2B3B7BAC" w:rsidR="003A04B9" w:rsidRDefault="00C51EBD" w:rsidP="00C51EBD">
      <w:pPr>
        <w:pStyle w:val="Heading1"/>
      </w:pPr>
      <w:r>
        <w:t>Method</w:t>
      </w:r>
    </w:p>
    <w:p w14:paraId="1F5F3755" w14:textId="267CAF0A" w:rsidR="002A2264" w:rsidRPr="00C51EBD" w:rsidRDefault="00095DF5" w:rsidP="00C51EBD">
      <w:pPr>
        <w:pStyle w:val="Heading2"/>
      </w:pPr>
      <w:r w:rsidRPr="00C51EBD">
        <w:t xml:space="preserve">LCA </w:t>
      </w:r>
      <w:r w:rsidR="00AB7E2B" w:rsidRPr="00C51EBD">
        <w:t>System Boundary</w:t>
      </w:r>
    </w:p>
    <w:p w14:paraId="24D63075" w14:textId="0EB4ECAF" w:rsidR="00416025" w:rsidRDefault="00B72403" w:rsidP="00C51EBD">
      <w:pPr>
        <w:spacing w:after="0" w:line="240" w:lineRule="auto"/>
      </w:pPr>
      <w:r>
        <w:t xml:space="preserve">In this study, </w:t>
      </w:r>
      <w:r w:rsidR="00454492">
        <w:t xml:space="preserve">a </w:t>
      </w:r>
      <w:r>
        <w:t xml:space="preserve">total of nine fuel types </w:t>
      </w:r>
      <w:r w:rsidR="00454492">
        <w:t>is</w:t>
      </w:r>
      <w:r>
        <w:t xml:space="preserve"> considered </w:t>
      </w:r>
      <w:r w:rsidR="00454492">
        <w:t>(</w:t>
      </w:r>
      <w:r>
        <w:fldChar w:fldCharType="begin"/>
      </w:r>
      <w:r>
        <w:instrText xml:space="preserve"> REF _Ref17880113 \h </w:instrText>
      </w:r>
      <w:r>
        <w:fldChar w:fldCharType="separate"/>
      </w:r>
      <w:r w:rsidR="00AA250B">
        <w:t xml:space="preserve">Table </w:t>
      </w:r>
      <w:r w:rsidR="00AA250B">
        <w:rPr>
          <w:noProof/>
        </w:rPr>
        <w:t>1</w:t>
      </w:r>
      <w:r>
        <w:fldChar w:fldCharType="end"/>
      </w:r>
      <w:r w:rsidR="00454492">
        <w:t>)</w:t>
      </w:r>
      <w:r>
        <w:t>. For heavy fuel oil (HFO) that is the most typical marine fuel, we considered two additional HFO with low sulfur contents (0.5% and 0.1%)</w:t>
      </w:r>
      <w:r w:rsidR="00CD74DA">
        <w:t xml:space="preserve"> along with conventional HFO with </w:t>
      </w:r>
      <w:r w:rsidR="00D13D53">
        <w:t xml:space="preserve">a </w:t>
      </w:r>
      <w:r w:rsidR="00CD74DA">
        <w:t>sulfur content of 2.7%</w:t>
      </w:r>
      <w:r>
        <w:t xml:space="preserve">. Marine gas oil (MGO), </w:t>
      </w:r>
      <w:r w:rsidRPr="00B72403">
        <w:t>a distillate fuel</w:t>
      </w:r>
      <w:r>
        <w:t>, which has relatively lower sulfur content (1.0%) than the baseline HFO is considered with two additional MGO</w:t>
      </w:r>
      <w:r w:rsidR="00CD74DA">
        <w:t>s</w:t>
      </w:r>
      <w:r>
        <w:t xml:space="preserve"> with low sulfur contents (0.5% and 0.1%). Marine diesel oil is considered as a mixture of HFO and MGO, which generate three types of MDO with different sulfur contents. </w:t>
      </w:r>
      <w:r w:rsidR="00CD74DA">
        <w:t xml:space="preserve">By default, we assume to mix 50% HFO and 50% MGO by weight. </w:t>
      </w:r>
      <w:r w:rsidR="005B3898">
        <w:t xml:space="preserve">Liquefied natural gas (LNG) has emerged to comply with regulations by IMO and MARPOL because of its clean combustion profile and recent competitive LNG price. Other than these conventional fossil-based marine fuels, we analyzed alternative fuel production pathways. </w:t>
      </w:r>
      <w:r w:rsidRPr="00B72403">
        <w:t>National Renewable Energy Laboratory</w:t>
      </w:r>
      <w:r>
        <w:t xml:space="preserve"> (NREL) provided process engineering datasets for </w:t>
      </w:r>
      <w:r w:rsidR="00CD74DA">
        <w:t xml:space="preserve">FTD </w:t>
      </w:r>
      <w:r>
        <w:t>using four different feedstocks (natural gas [NG], biomass, biomass/NG, and biomass/coal)</w:t>
      </w:r>
      <w:r w:rsidR="005F32DF">
        <w:t xml:space="preserve">, and </w:t>
      </w:r>
      <w:r w:rsidR="005F32DF" w:rsidRPr="005F32DF">
        <w:t>Pacific Northwest National Laboratory</w:t>
      </w:r>
      <w:r w:rsidR="005F32DF">
        <w:t xml:space="preserve"> (PNNL) provided </w:t>
      </w:r>
      <w:r w:rsidR="004D6892">
        <w:t xml:space="preserve">process engineering datasets for pyrolysis oil from woody biomass and renewable diesel using yellow grease with and without HFO. We also include </w:t>
      </w:r>
      <w:r w:rsidR="00CD74DA">
        <w:t>s</w:t>
      </w:r>
      <w:r w:rsidR="00CD74DA" w:rsidRPr="00CD74DA">
        <w:t xml:space="preserve">traight </w:t>
      </w:r>
      <w:r w:rsidR="00CD74DA">
        <w:t>v</w:t>
      </w:r>
      <w:r w:rsidR="00CD74DA" w:rsidRPr="00CD74DA">
        <w:t xml:space="preserve">egetable </w:t>
      </w:r>
      <w:r w:rsidR="00CD74DA">
        <w:t>o</w:t>
      </w:r>
      <w:r w:rsidR="00CD74DA" w:rsidRPr="00CD74DA">
        <w:t xml:space="preserve">il </w:t>
      </w:r>
      <w:r w:rsidR="00CD74DA">
        <w:t>(</w:t>
      </w:r>
      <w:r w:rsidR="004D6892">
        <w:t>soy oil</w:t>
      </w:r>
      <w:r w:rsidR="00CD74DA">
        <w:t>)</w:t>
      </w:r>
      <w:r w:rsidR="004D6892">
        <w:t xml:space="preserve"> and biodiesel as alternative marine fuels. </w:t>
      </w:r>
    </w:p>
    <w:p w14:paraId="4DE8B244" w14:textId="77777777" w:rsidR="00C51EBD" w:rsidRDefault="00C51EBD" w:rsidP="00C51EBD">
      <w:pPr>
        <w:spacing w:after="0" w:line="240" w:lineRule="auto"/>
      </w:pPr>
    </w:p>
    <w:p w14:paraId="6C8E669A" w14:textId="2C658413" w:rsidR="008721F6" w:rsidRDefault="008721F6" w:rsidP="000F1A32">
      <w:pPr>
        <w:pStyle w:val="Caption"/>
        <w:spacing w:after="0"/>
      </w:pPr>
      <w:bookmarkStart w:id="1" w:name="_Ref17880113"/>
      <w:r>
        <w:t xml:space="preserve">Table </w:t>
      </w:r>
      <w:r w:rsidR="006D53AC">
        <w:rPr>
          <w:noProof/>
        </w:rPr>
        <w:fldChar w:fldCharType="begin"/>
      </w:r>
      <w:r w:rsidR="006D53AC">
        <w:rPr>
          <w:noProof/>
        </w:rPr>
        <w:instrText xml:space="preserve"> SEQ Table \* ARABIC </w:instrText>
      </w:r>
      <w:r w:rsidR="006D53AC">
        <w:rPr>
          <w:noProof/>
        </w:rPr>
        <w:fldChar w:fldCharType="separate"/>
      </w:r>
      <w:r w:rsidR="00AA250B">
        <w:rPr>
          <w:noProof/>
        </w:rPr>
        <w:t>1</w:t>
      </w:r>
      <w:r w:rsidR="006D53AC">
        <w:rPr>
          <w:noProof/>
        </w:rPr>
        <w:fldChar w:fldCharType="end"/>
      </w:r>
      <w:bookmarkEnd w:id="1"/>
      <w:r>
        <w:t xml:space="preserve">. </w:t>
      </w:r>
      <w:r w:rsidR="00416025">
        <w:t>Fuel production p</w:t>
      </w:r>
      <w:r>
        <w:t xml:space="preserve">athways </w:t>
      </w:r>
      <w:r w:rsidR="00416025">
        <w:t>evaluated in this study</w:t>
      </w:r>
    </w:p>
    <w:tbl>
      <w:tblPr>
        <w:tblStyle w:val="TableGrid"/>
        <w:tblW w:w="9350" w:type="dxa"/>
        <w:tblLook w:val="04A0" w:firstRow="1" w:lastRow="0" w:firstColumn="1" w:lastColumn="0" w:noHBand="0" w:noVBand="1"/>
      </w:tblPr>
      <w:tblGrid>
        <w:gridCol w:w="4820"/>
        <w:gridCol w:w="4530"/>
      </w:tblGrid>
      <w:tr w:rsidR="0083364F" w:rsidRPr="00D878B9" w14:paraId="1E2C0AEC" w14:textId="77777777" w:rsidTr="008721F6">
        <w:trPr>
          <w:trHeight w:val="20"/>
        </w:trPr>
        <w:tc>
          <w:tcPr>
            <w:tcW w:w="4820" w:type="dxa"/>
            <w:tcBorders>
              <w:left w:val="nil"/>
              <w:bottom w:val="single" w:sz="4" w:space="0" w:color="auto"/>
            </w:tcBorders>
            <w:vAlign w:val="center"/>
          </w:tcPr>
          <w:p w14:paraId="2354A6D1" w14:textId="21142762" w:rsidR="0083364F" w:rsidRPr="00D878B9" w:rsidRDefault="0083364F" w:rsidP="00C51EBD">
            <w:pPr>
              <w:jc w:val="left"/>
              <w:rPr>
                <w:rFonts w:eastAsia="Times New Roman" w:cs="Times New Roman"/>
                <w:b/>
                <w:color w:val="000000"/>
                <w:sz w:val="20"/>
              </w:rPr>
            </w:pPr>
            <w:r w:rsidRPr="00D878B9">
              <w:rPr>
                <w:rFonts w:eastAsia="Times New Roman" w:cs="Times New Roman"/>
                <w:b/>
                <w:color w:val="000000"/>
                <w:sz w:val="20"/>
              </w:rPr>
              <w:t>Pathways</w:t>
            </w:r>
          </w:p>
        </w:tc>
        <w:tc>
          <w:tcPr>
            <w:tcW w:w="4530" w:type="dxa"/>
            <w:tcBorders>
              <w:bottom w:val="single" w:sz="4" w:space="0" w:color="auto"/>
              <w:right w:val="nil"/>
            </w:tcBorders>
            <w:vAlign w:val="center"/>
          </w:tcPr>
          <w:p w14:paraId="019076D9" w14:textId="07B1CC43" w:rsidR="0083364F" w:rsidRPr="00D878B9" w:rsidRDefault="008721F6" w:rsidP="000F1A32">
            <w:pPr>
              <w:jc w:val="center"/>
              <w:rPr>
                <w:rFonts w:eastAsia="Times New Roman" w:cs="Times New Roman"/>
                <w:b/>
                <w:color w:val="000000"/>
                <w:sz w:val="20"/>
              </w:rPr>
            </w:pPr>
            <w:r w:rsidRPr="00D878B9">
              <w:rPr>
                <w:rFonts w:eastAsia="Times New Roman" w:cs="Times New Roman"/>
                <w:b/>
                <w:color w:val="000000"/>
                <w:sz w:val="20"/>
              </w:rPr>
              <w:t>Note</w:t>
            </w:r>
          </w:p>
        </w:tc>
      </w:tr>
      <w:tr w:rsidR="0083364F" w:rsidRPr="00D878B9" w14:paraId="087256FE" w14:textId="2BC50FAA" w:rsidTr="008721F6">
        <w:trPr>
          <w:trHeight w:val="20"/>
        </w:trPr>
        <w:tc>
          <w:tcPr>
            <w:tcW w:w="4820" w:type="dxa"/>
            <w:tcBorders>
              <w:left w:val="nil"/>
              <w:bottom w:val="nil"/>
            </w:tcBorders>
            <w:vAlign w:val="center"/>
            <w:hideMark/>
          </w:tcPr>
          <w:p w14:paraId="3E7ACF5F" w14:textId="77777777" w:rsidR="0083364F" w:rsidRPr="0083364F" w:rsidRDefault="0083364F" w:rsidP="00C51EBD">
            <w:pPr>
              <w:jc w:val="left"/>
              <w:rPr>
                <w:rFonts w:eastAsia="Times New Roman" w:cs="Times New Roman"/>
                <w:color w:val="000000"/>
                <w:sz w:val="20"/>
              </w:rPr>
            </w:pPr>
            <w:r w:rsidRPr="0083364F">
              <w:rPr>
                <w:rFonts w:eastAsia="Times New Roman" w:cs="Times New Roman"/>
                <w:color w:val="000000"/>
                <w:sz w:val="20"/>
              </w:rPr>
              <w:t>HFO (2.7% sulfur)</w:t>
            </w:r>
          </w:p>
        </w:tc>
        <w:tc>
          <w:tcPr>
            <w:tcW w:w="4530" w:type="dxa"/>
            <w:tcBorders>
              <w:bottom w:val="nil"/>
              <w:right w:val="nil"/>
            </w:tcBorders>
            <w:vAlign w:val="center"/>
          </w:tcPr>
          <w:p w14:paraId="41F6C94B" w14:textId="47144734" w:rsidR="0083364F" w:rsidRPr="00D878B9" w:rsidRDefault="0083364F" w:rsidP="000F1A32">
            <w:pPr>
              <w:jc w:val="left"/>
              <w:rPr>
                <w:rFonts w:eastAsia="Times New Roman" w:cs="Times New Roman"/>
                <w:color w:val="000000"/>
                <w:sz w:val="20"/>
              </w:rPr>
            </w:pPr>
            <w:r w:rsidRPr="00D878B9">
              <w:rPr>
                <w:rFonts w:eastAsia="Times New Roman" w:cs="Times New Roman"/>
                <w:color w:val="000000"/>
                <w:sz w:val="20"/>
              </w:rPr>
              <w:t>Residual oil in GREET</w:t>
            </w:r>
          </w:p>
        </w:tc>
      </w:tr>
      <w:tr w:rsidR="0083364F" w:rsidRPr="00D878B9" w14:paraId="39ECDEA4" w14:textId="33952899" w:rsidTr="008721F6">
        <w:trPr>
          <w:trHeight w:val="20"/>
        </w:trPr>
        <w:tc>
          <w:tcPr>
            <w:tcW w:w="4820" w:type="dxa"/>
            <w:tcBorders>
              <w:top w:val="nil"/>
              <w:left w:val="nil"/>
              <w:bottom w:val="nil"/>
            </w:tcBorders>
            <w:vAlign w:val="center"/>
            <w:hideMark/>
          </w:tcPr>
          <w:p w14:paraId="257FFBD5" w14:textId="77777777" w:rsidR="0083364F" w:rsidRPr="0083364F" w:rsidRDefault="0083364F" w:rsidP="00C51EBD">
            <w:pPr>
              <w:jc w:val="left"/>
              <w:rPr>
                <w:rFonts w:eastAsia="Times New Roman" w:cs="Times New Roman"/>
                <w:color w:val="000000"/>
                <w:sz w:val="20"/>
              </w:rPr>
            </w:pPr>
            <w:r w:rsidRPr="0083364F">
              <w:rPr>
                <w:rFonts w:eastAsia="Times New Roman" w:cs="Times New Roman"/>
                <w:color w:val="000000"/>
                <w:sz w:val="20"/>
              </w:rPr>
              <w:t>HFO (0.5% sulfur)</w:t>
            </w:r>
          </w:p>
        </w:tc>
        <w:tc>
          <w:tcPr>
            <w:tcW w:w="4530" w:type="dxa"/>
            <w:tcBorders>
              <w:top w:val="nil"/>
              <w:bottom w:val="nil"/>
              <w:right w:val="nil"/>
            </w:tcBorders>
            <w:vAlign w:val="center"/>
          </w:tcPr>
          <w:p w14:paraId="7C435410" w14:textId="34347F2F" w:rsidR="0083364F" w:rsidRPr="00D878B9" w:rsidRDefault="0083364F" w:rsidP="000F1A32">
            <w:pPr>
              <w:jc w:val="left"/>
              <w:rPr>
                <w:rFonts w:eastAsia="Times New Roman" w:cs="Times New Roman"/>
                <w:color w:val="000000"/>
                <w:sz w:val="20"/>
              </w:rPr>
            </w:pPr>
            <w:r w:rsidRPr="00D878B9">
              <w:rPr>
                <w:rFonts w:eastAsia="Times New Roman" w:cs="Times New Roman"/>
                <w:color w:val="000000"/>
                <w:sz w:val="20"/>
              </w:rPr>
              <w:t>Residual oil in GREET + Desulfurization</w:t>
            </w:r>
          </w:p>
        </w:tc>
      </w:tr>
      <w:tr w:rsidR="0083364F" w:rsidRPr="00D878B9" w14:paraId="7FBE8454" w14:textId="3DFCEBE3" w:rsidTr="005B3898">
        <w:trPr>
          <w:trHeight w:val="20"/>
        </w:trPr>
        <w:tc>
          <w:tcPr>
            <w:tcW w:w="4820" w:type="dxa"/>
            <w:tcBorders>
              <w:top w:val="nil"/>
              <w:left w:val="nil"/>
              <w:bottom w:val="single" w:sz="4" w:space="0" w:color="auto"/>
            </w:tcBorders>
            <w:vAlign w:val="center"/>
            <w:hideMark/>
          </w:tcPr>
          <w:p w14:paraId="4F25FF43" w14:textId="77777777" w:rsidR="0083364F" w:rsidRPr="0083364F" w:rsidRDefault="0083364F" w:rsidP="00C51EBD">
            <w:pPr>
              <w:jc w:val="left"/>
              <w:rPr>
                <w:rFonts w:eastAsia="Times New Roman" w:cs="Times New Roman"/>
                <w:color w:val="000000"/>
                <w:sz w:val="20"/>
              </w:rPr>
            </w:pPr>
            <w:r w:rsidRPr="0083364F">
              <w:rPr>
                <w:rFonts w:eastAsia="Times New Roman" w:cs="Times New Roman"/>
                <w:color w:val="000000"/>
                <w:sz w:val="20"/>
              </w:rPr>
              <w:t>HFO (0.1% sulfur)</w:t>
            </w:r>
          </w:p>
        </w:tc>
        <w:tc>
          <w:tcPr>
            <w:tcW w:w="4530" w:type="dxa"/>
            <w:tcBorders>
              <w:top w:val="nil"/>
              <w:bottom w:val="single" w:sz="4" w:space="0" w:color="auto"/>
              <w:right w:val="nil"/>
            </w:tcBorders>
            <w:vAlign w:val="center"/>
          </w:tcPr>
          <w:p w14:paraId="2AF249E5" w14:textId="1F80F4E7" w:rsidR="0083364F" w:rsidRPr="00D878B9" w:rsidRDefault="0083364F" w:rsidP="000F1A32">
            <w:pPr>
              <w:jc w:val="left"/>
              <w:rPr>
                <w:rFonts w:eastAsia="Times New Roman" w:cs="Times New Roman"/>
                <w:color w:val="000000"/>
                <w:sz w:val="20"/>
              </w:rPr>
            </w:pPr>
            <w:r w:rsidRPr="00D878B9">
              <w:rPr>
                <w:rFonts w:eastAsia="Times New Roman" w:cs="Times New Roman"/>
                <w:color w:val="000000"/>
                <w:sz w:val="20"/>
              </w:rPr>
              <w:t>Residual oil in GREET + Desulfurization</w:t>
            </w:r>
          </w:p>
        </w:tc>
      </w:tr>
      <w:tr w:rsidR="005B3898" w:rsidRPr="00D878B9" w14:paraId="0C5601A8" w14:textId="77777777" w:rsidTr="008721F6">
        <w:trPr>
          <w:trHeight w:val="20"/>
        </w:trPr>
        <w:tc>
          <w:tcPr>
            <w:tcW w:w="4820" w:type="dxa"/>
            <w:tcBorders>
              <w:left w:val="nil"/>
              <w:bottom w:val="nil"/>
            </w:tcBorders>
            <w:vAlign w:val="center"/>
          </w:tcPr>
          <w:p w14:paraId="7338CF26" w14:textId="14F24FFE" w:rsidR="005B3898" w:rsidRPr="0083364F" w:rsidRDefault="005B3898" w:rsidP="00C51EBD">
            <w:pPr>
              <w:jc w:val="left"/>
              <w:rPr>
                <w:rFonts w:eastAsia="Times New Roman" w:cs="Times New Roman"/>
                <w:color w:val="000000"/>
                <w:sz w:val="20"/>
              </w:rPr>
            </w:pPr>
            <w:r w:rsidRPr="0083364F">
              <w:rPr>
                <w:rFonts w:eastAsia="Times New Roman" w:cs="Times New Roman"/>
                <w:color w:val="000000"/>
                <w:sz w:val="20"/>
              </w:rPr>
              <w:t>MGO (1.0% sulfur)</w:t>
            </w:r>
          </w:p>
        </w:tc>
        <w:tc>
          <w:tcPr>
            <w:tcW w:w="4530" w:type="dxa"/>
            <w:tcBorders>
              <w:bottom w:val="nil"/>
              <w:right w:val="nil"/>
            </w:tcBorders>
            <w:vAlign w:val="center"/>
          </w:tcPr>
          <w:p w14:paraId="656FC7EF" w14:textId="2EF3758D" w:rsidR="005B3898" w:rsidRPr="00D878B9" w:rsidRDefault="005B3898" w:rsidP="000F1A32">
            <w:pPr>
              <w:jc w:val="left"/>
              <w:rPr>
                <w:rFonts w:eastAsia="Times New Roman" w:cs="Times New Roman"/>
                <w:color w:val="000000"/>
                <w:sz w:val="20"/>
              </w:rPr>
            </w:pPr>
            <w:r w:rsidRPr="00D878B9">
              <w:rPr>
                <w:rFonts w:eastAsia="Times New Roman" w:cs="Times New Roman"/>
                <w:color w:val="000000"/>
                <w:sz w:val="20"/>
              </w:rPr>
              <w:t>Unfinished oil in GREET</w:t>
            </w:r>
          </w:p>
        </w:tc>
      </w:tr>
      <w:tr w:rsidR="005B3898" w:rsidRPr="00D878B9" w14:paraId="3E97F85D" w14:textId="77777777" w:rsidTr="005B3898">
        <w:trPr>
          <w:trHeight w:val="20"/>
        </w:trPr>
        <w:tc>
          <w:tcPr>
            <w:tcW w:w="4820" w:type="dxa"/>
            <w:tcBorders>
              <w:top w:val="nil"/>
              <w:left w:val="nil"/>
              <w:bottom w:val="nil"/>
            </w:tcBorders>
            <w:vAlign w:val="center"/>
          </w:tcPr>
          <w:p w14:paraId="5A8A37BC" w14:textId="4CF1777E" w:rsidR="005B3898" w:rsidRPr="0083364F" w:rsidRDefault="005B3898" w:rsidP="00C51EBD">
            <w:pPr>
              <w:jc w:val="left"/>
              <w:rPr>
                <w:rFonts w:eastAsia="Times New Roman" w:cs="Times New Roman"/>
                <w:color w:val="000000"/>
                <w:sz w:val="20"/>
              </w:rPr>
            </w:pPr>
            <w:r w:rsidRPr="0083364F">
              <w:rPr>
                <w:rFonts w:eastAsia="Times New Roman" w:cs="Times New Roman"/>
                <w:color w:val="000000"/>
                <w:sz w:val="20"/>
              </w:rPr>
              <w:t>MGO (0.5 % sulfur)</w:t>
            </w:r>
          </w:p>
        </w:tc>
        <w:tc>
          <w:tcPr>
            <w:tcW w:w="4530" w:type="dxa"/>
            <w:tcBorders>
              <w:top w:val="nil"/>
              <w:bottom w:val="nil"/>
              <w:right w:val="nil"/>
            </w:tcBorders>
            <w:vAlign w:val="center"/>
          </w:tcPr>
          <w:p w14:paraId="03891FDC" w14:textId="6681EB5F" w:rsidR="005B3898" w:rsidRPr="00D878B9" w:rsidRDefault="005B3898" w:rsidP="000F1A32">
            <w:pPr>
              <w:jc w:val="left"/>
              <w:rPr>
                <w:rFonts w:eastAsia="Times New Roman" w:cs="Times New Roman"/>
                <w:color w:val="000000"/>
                <w:sz w:val="20"/>
              </w:rPr>
            </w:pPr>
            <w:r w:rsidRPr="00D878B9">
              <w:rPr>
                <w:rFonts w:eastAsia="Times New Roman" w:cs="Times New Roman"/>
                <w:color w:val="000000"/>
                <w:sz w:val="20"/>
              </w:rPr>
              <w:t>Unfinished oil in GREET+ Desulfurization</w:t>
            </w:r>
          </w:p>
        </w:tc>
      </w:tr>
      <w:tr w:rsidR="005B3898" w:rsidRPr="00D878B9" w14:paraId="3E1C3E90" w14:textId="77777777" w:rsidTr="005B3898">
        <w:trPr>
          <w:trHeight w:val="20"/>
        </w:trPr>
        <w:tc>
          <w:tcPr>
            <w:tcW w:w="4820" w:type="dxa"/>
            <w:tcBorders>
              <w:top w:val="nil"/>
              <w:left w:val="nil"/>
              <w:bottom w:val="single" w:sz="4" w:space="0" w:color="auto"/>
            </w:tcBorders>
            <w:vAlign w:val="center"/>
          </w:tcPr>
          <w:p w14:paraId="671FDF86" w14:textId="212F8A1C" w:rsidR="005B3898" w:rsidRPr="0083364F" w:rsidRDefault="005B3898" w:rsidP="00C51EBD">
            <w:pPr>
              <w:jc w:val="left"/>
              <w:rPr>
                <w:rFonts w:eastAsia="Times New Roman" w:cs="Times New Roman"/>
                <w:color w:val="000000"/>
                <w:sz w:val="20"/>
              </w:rPr>
            </w:pPr>
            <w:r w:rsidRPr="0083364F">
              <w:rPr>
                <w:rFonts w:eastAsia="Times New Roman" w:cs="Times New Roman"/>
                <w:color w:val="000000"/>
                <w:sz w:val="20"/>
              </w:rPr>
              <w:t>MGO (0.1 % sulfur)</w:t>
            </w:r>
          </w:p>
        </w:tc>
        <w:tc>
          <w:tcPr>
            <w:tcW w:w="4530" w:type="dxa"/>
            <w:tcBorders>
              <w:top w:val="nil"/>
              <w:bottom w:val="single" w:sz="4" w:space="0" w:color="auto"/>
              <w:right w:val="nil"/>
            </w:tcBorders>
            <w:vAlign w:val="center"/>
          </w:tcPr>
          <w:p w14:paraId="4CCF0C6B" w14:textId="37D20B8B" w:rsidR="005B3898" w:rsidRPr="00D878B9" w:rsidRDefault="005B3898" w:rsidP="000F1A32">
            <w:pPr>
              <w:jc w:val="left"/>
              <w:rPr>
                <w:rFonts w:eastAsia="Times New Roman" w:cs="Times New Roman"/>
                <w:color w:val="000000"/>
                <w:sz w:val="20"/>
              </w:rPr>
            </w:pPr>
            <w:r w:rsidRPr="00D878B9">
              <w:rPr>
                <w:rFonts w:eastAsia="Times New Roman" w:cs="Times New Roman"/>
                <w:color w:val="000000"/>
                <w:sz w:val="20"/>
              </w:rPr>
              <w:t>Unfinished oil in GREET+ Desulfurization</w:t>
            </w:r>
          </w:p>
        </w:tc>
      </w:tr>
      <w:tr w:rsidR="0083364F" w:rsidRPr="00D878B9" w14:paraId="2F17EE26" w14:textId="2C099548" w:rsidTr="005B3898">
        <w:trPr>
          <w:trHeight w:val="20"/>
        </w:trPr>
        <w:tc>
          <w:tcPr>
            <w:tcW w:w="4820" w:type="dxa"/>
            <w:tcBorders>
              <w:top w:val="single" w:sz="4" w:space="0" w:color="auto"/>
              <w:left w:val="nil"/>
              <w:bottom w:val="nil"/>
            </w:tcBorders>
            <w:vAlign w:val="center"/>
            <w:hideMark/>
          </w:tcPr>
          <w:p w14:paraId="4AE7864C" w14:textId="77777777" w:rsidR="0083364F" w:rsidRPr="0083364F" w:rsidRDefault="0083364F" w:rsidP="00C51EBD">
            <w:pPr>
              <w:jc w:val="left"/>
              <w:rPr>
                <w:rFonts w:eastAsia="Times New Roman" w:cs="Times New Roman"/>
                <w:color w:val="000000"/>
                <w:sz w:val="20"/>
              </w:rPr>
            </w:pPr>
            <w:r w:rsidRPr="0083364F">
              <w:rPr>
                <w:rFonts w:eastAsia="Times New Roman" w:cs="Times New Roman"/>
                <w:color w:val="000000"/>
                <w:sz w:val="20"/>
              </w:rPr>
              <w:t>MDO (1.92% sulfur )</w:t>
            </w:r>
          </w:p>
        </w:tc>
        <w:tc>
          <w:tcPr>
            <w:tcW w:w="4530" w:type="dxa"/>
            <w:tcBorders>
              <w:top w:val="single" w:sz="4" w:space="0" w:color="auto"/>
              <w:bottom w:val="nil"/>
              <w:right w:val="nil"/>
            </w:tcBorders>
            <w:vAlign w:val="center"/>
          </w:tcPr>
          <w:p w14:paraId="06B0C2C0" w14:textId="33EA04C8" w:rsidR="0083364F" w:rsidRPr="00D878B9" w:rsidRDefault="0083364F" w:rsidP="000F1A32">
            <w:pPr>
              <w:jc w:val="left"/>
              <w:rPr>
                <w:rFonts w:eastAsia="Times New Roman" w:cs="Times New Roman"/>
                <w:color w:val="000000"/>
                <w:sz w:val="20"/>
              </w:rPr>
            </w:pPr>
            <w:r w:rsidRPr="00D878B9">
              <w:rPr>
                <w:rFonts w:eastAsia="Times New Roman" w:cs="Times New Roman"/>
                <w:color w:val="000000"/>
                <w:sz w:val="20"/>
              </w:rPr>
              <w:t>Mixture of HFO 2.7%S and MGO 1.0%S</w:t>
            </w:r>
          </w:p>
        </w:tc>
      </w:tr>
      <w:tr w:rsidR="0083364F" w:rsidRPr="00D878B9" w14:paraId="6424353B" w14:textId="462C0030" w:rsidTr="008721F6">
        <w:trPr>
          <w:trHeight w:val="20"/>
        </w:trPr>
        <w:tc>
          <w:tcPr>
            <w:tcW w:w="4820" w:type="dxa"/>
            <w:tcBorders>
              <w:top w:val="nil"/>
              <w:left w:val="nil"/>
              <w:bottom w:val="nil"/>
            </w:tcBorders>
            <w:vAlign w:val="center"/>
            <w:hideMark/>
          </w:tcPr>
          <w:p w14:paraId="4417E7CB" w14:textId="77777777" w:rsidR="0083364F" w:rsidRPr="0083364F" w:rsidRDefault="0083364F" w:rsidP="00C51EBD">
            <w:pPr>
              <w:jc w:val="left"/>
              <w:rPr>
                <w:rFonts w:eastAsia="Times New Roman" w:cs="Times New Roman"/>
                <w:color w:val="000000"/>
                <w:sz w:val="20"/>
              </w:rPr>
            </w:pPr>
            <w:r w:rsidRPr="0083364F">
              <w:rPr>
                <w:rFonts w:eastAsia="Times New Roman" w:cs="Times New Roman"/>
                <w:color w:val="000000"/>
                <w:sz w:val="20"/>
              </w:rPr>
              <w:t>MDO (0.5% sulfur)</w:t>
            </w:r>
          </w:p>
        </w:tc>
        <w:tc>
          <w:tcPr>
            <w:tcW w:w="4530" w:type="dxa"/>
            <w:tcBorders>
              <w:top w:val="nil"/>
              <w:bottom w:val="nil"/>
              <w:right w:val="nil"/>
            </w:tcBorders>
            <w:vAlign w:val="center"/>
          </w:tcPr>
          <w:p w14:paraId="2110135F" w14:textId="3BD3BF1F" w:rsidR="0083364F" w:rsidRPr="00D878B9" w:rsidRDefault="0083364F" w:rsidP="000F1A32">
            <w:pPr>
              <w:jc w:val="left"/>
              <w:rPr>
                <w:rFonts w:eastAsia="Times New Roman" w:cs="Times New Roman"/>
                <w:color w:val="000000"/>
                <w:sz w:val="20"/>
              </w:rPr>
            </w:pPr>
            <w:r w:rsidRPr="00D878B9">
              <w:rPr>
                <w:rFonts w:eastAsia="Times New Roman" w:cs="Times New Roman"/>
                <w:color w:val="000000"/>
                <w:sz w:val="20"/>
              </w:rPr>
              <w:t>Mixture of HFO 0.5%S and MGO 0.5%S</w:t>
            </w:r>
          </w:p>
        </w:tc>
      </w:tr>
      <w:tr w:rsidR="0083364F" w:rsidRPr="00D878B9" w14:paraId="111515DF" w14:textId="00C3E680" w:rsidTr="008721F6">
        <w:trPr>
          <w:trHeight w:val="20"/>
        </w:trPr>
        <w:tc>
          <w:tcPr>
            <w:tcW w:w="4820" w:type="dxa"/>
            <w:tcBorders>
              <w:top w:val="nil"/>
              <w:left w:val="nil"/>
              <w:bottom w:val="single" w:sz="4" w:space="0" w:color="auto"/>
            </w:tcBorders>
            <w:vAlign w:val="center"/>
            <w:hideMark/>
          </w:tcPr>
          <w:p w14:paraId="5C1AF425" w14:textId="77777777" w:rsidR="0083364F" w:rsidRPr="0083364F" w:rsidRDefault="0083364F" w:rsidP="00C51EBD">
            <w:pPr>
              <w:jc w:val="left"/>
              <w:rPr>
                <w:rFonts w:eastAsia="Times New Roman" w:cs="Times New Roman"/>
                <w:color w:val="000000"/>
                <w:sz w:val="20"/>
              </w:rPr>
            </w:pPr>
            <w:r w:rsidRPr="0083364F">
              <w:rPr>
                <w:rFonts w:eastAsia="Times New Roman" w:cs="Times New Roman"/>
                <w:color w:val="000000"/>
                <w:sz w:val="20"/>
              </w:rPr>
              <w:t>MDO (0.1% sulfur)</w:t>
            </w:r>
          </w:p>
        </w:tc>
        <w:tc>
          <w:tcPr>
            <w:tcW w:w="4530" w:type="dxa"/>
            <w:tcBorders>
              <w:top w:val="nil"/>
              <w:bottom w:val="single" w:sz="4" w:space="0" w:color="auto"/>
              <w:right w:val="nil"/>
            </w:tcBorders>
            <w:vAlign w:val="center"/>
          </w:tcPr>
          <w:p w14:paraId="766E7ECF" w14:textId="632D3548" w:rsidR="0083364F" w:rsidRPr="00D878B9" w:rsidRDefault="0083364F" w:rsidP="000F1A32">
            <w:pPr>
              <w:jc w:val="left"/>
              <w:rPr>
                <w:rFonts w:eastAsia="Times New Roman" w:cs="Times New Roman"/>
                <w:color w:val="000000"/>
                <w:sz w:val="20"/>
              </w:rPr>
            </w:pPr>
            <w:r w:rsidRPr="00D878B9">
              <w:rPr>
                <w:rFonts w:eastAsia="Times New Roman" w:cs="Times New Roman"/>
                <w:color w:val="000000"/>
                <w:sz w:val="20"/>
              </w:rPr>
              <w:t>Mixture of HFO 0.1%S and MGO 0.1%S</w:t>
            </w:r>
          </w:p>
        </w:tc>
      </w:tr>
      <w:tr w:rsidR="005B3898" w:rsidRPr="00D878B9" w14:paraId="7A207C09" w14:textId="0803C1E4" w:rsidTr="005B3898">
        <w:trPr>
          <w:trHeight w:val="20"/>
        </w:trPr>
        <w:tc>
          <w:tcPr>
            <w:tcW w:w="4820" w:type="dxa"/>
            <w:tcBorders>
              <w:left w:val="nil"/>
              <w:bottom w:val="nil"/>
            </w:tcBorders>
            <w:vAlign w:val="center"/>
          </w:tcPr>
          <w:p w14:paraId="70F4CB19" w14:textId="292C4D02" w:rsidR="005B3898" w:rsidRPr="0083364F" w:rsidRDefault="005B3898" w:rsidP="00C51EBD">
            <w:pPr>
              <w:jc w:val="left"/>
              <w:rPr>
                <w:rFonts w:eastAsia="Times New Roman" w:cs="Times New Roman"/>
                <w:color w:val="000000"/>
                <w:sz w:val="20"/>
              </w:rPr>
            </w:pPr>
            <w:r w:rsidRPr="0083364F">
              <w:rPr>
                <w:rFonts w:eastAsia="Times New Roman" w:cs="Times New Roman"/>
                <w:color w:val="000000"/>
                <w:sz w:val="20"/>
              </w:rPr>
              <w:t>LNG</w:t>
            </w:r>
          </w:p>
        </w:tc>
        <w:tc>
          <w:tcPr>
            <w:tcW w:w="4530" w:type="dxa"/>
            <w:tcBorders>
              <w:bottom w:val="nil"/>
              <w:right w:val="nil"/>
            </w:tcBorders>
            <w:vAlign w:val="center"/>
          </w:tcPr>
          <w:p w14:paraId="1331FC0E" w14:textId="33746704" w:rsidR="005B3898" w:rsidRPr="00D878B9" w:rsidRDefault="005B3898" w:rsidP="000F1A32">
            <w:pPr>
              <w:jc w:val="left"/>
              <w:rPr>
                <w:rFonts w:eastAsia="Times New Roman" w:cs="Times New Roman"/>
                <w:color w:val="000000"/>
                <w:sz w:val="20"/>
              </w:rPr>
            </w:pPr>
            <w:r w:rsidRPr="00D878B9">
              <w:rPr>
                <w:rFonts w:eastAsia="Times New Roman" w:cs="Times New Roman"/>
                <w:color w:val="000000"/>
                <w:sz w:val="20"/>
              </w:rPr>
              <w:t>LNG in GREET</w:t>
            </w:r>
          </w:p>
        </w:tc>
      </w:tr>
      <w:tr w:rsidR="0083364F" w:rsidRPr="00D878B9" w14:paraId="2A204305" w14:textId="3677EB2C" w:rsidTr="008721F6">
        <w:trPr>
          <w:trHeight w:val="20"/>
        </w:trPr>
        <w:tc>
          <w:tcPr>
            <w:tcW w:w="4820" w:type="dxa"/>
            <w:tcBorders>
              <w:left w:val="nil"/>
              <w:bottom w:val="nil"/>
            </w:tcBorders>
            <w:vAlign w:val="center"/>
            <w:hideMark/>
          </w:tcPr>
          <w:p w14:paraId="36BDCAF7" w14:textId="77777777" w:rsidR="0083364F" w:rsidRPr="00126EF2" w:rsidRDefault="0083364F" w:rsidP="00C51EBD">
            <w:pPr>
              <w:jc w:val="left"/>
              <w:rPr>
                <w:rFonts w:eastAsia="Times New Roman" w:cs="Times New Roman"/>
                <w:sz w:val="20"/>
              </w:rPr>
            </w:pPr>
            <w:r w:rsidRPr="00126EF2">
              <w:rPr>
                <w:rFonts w:eastAsia="Times New Roman" w:cs="Times New Roman"/>
                <w:sz w:val="20"/>
              </w:rPr>
              <w:t>FT-Diesel (NG)</w:t>
            </w:r>
          </w:p>
        </w:tc>
        <w:tc>
          <w:tcPr>
            <w:tcW w:w="4530" w:type="dxa"/>
            <w:tcBorders>
              <w:bottom w:val="nil"/>
              <w:right w:val="nil"/>
            </w:tcBorders>
            <w:vAlign w:val="center"/>
          </w:tcPr>
          <w:p w14:paraId="3185C49C" w14:textId="5FB0D23A" w:rsidR="0083364F" w:rsidRPr="00126EF2" w:rsidRDefault="0083364F" w:rsidP="000F1A32">
            <w:pPr>
              <w:jc w:val="left"/>
              <w:rPr>
                <w:rFonts w:eastAsia="Times New Roman" w:cs="Times New Roman"/>
                <w:sz w:val="20"/>
              </w:rPr>
            </w:pPr>
            <w:r w:rsidRPr="00126EF2">
              <w:rPr>
                <w:rFonts w:eastAsia="Times New Roman" w:cs="Times New Roman"/>
                <w:sz w:val="20"/>
              </w:rPr>
              <w:t>Newly added; data provided by NREL</w:t>
            </w:r>
          </w:p>
        </w:tc>
      </w:tr>
      <w:tr w:rsidR="0083364F" w:rsidRPr="00D878B9" w14:paraId="51C6CD2D" w14:textId="77777777" w:rsidTr="008721F6">
        <w:trPr>
          <w:trHeight w:val="20"/>
        </w:trPr>
        <w:tc>
          <w:tcPr>
            <w:tcW w:w="4820" w:type="dxa"/>
            <w:tcBorders>
              <w:top w:val="nil"/>
              <w:left w:val="nil"/>
              <w:bottom w:val="nil"/>
            </w:tcBorders>
            <w:vAlign w:val="center"/>
          </w:tcPr>
          <w:p w14:paraId="60C2F70C" w14:textId="0FB99CFA" w:rsidR="0083364F" w:rsidRPr="00126EF2" w:rsidRDefault="0083364F" w:rsidP="00C51EBD">
            <w:pPr>
              <w:jc w:val="left"/>
              <w:rPr>
                <w:rFonts w:eastAsia="Times New Roman" w:cs="Times New Roman"/>
                <w:sz w:val="20"/>
              </w:rPr>
            </w:pPr>
            <w:r w:rsidRPr="00126EF2">
              <w:rPr>
                <w:rFonts w:eastAsia="Times New Roman" w:cs="Times New Roman"/>
                <w:sz w:val="20"/>
              </w:rPr>
              <w:t>FT-Diesel (biomass)</w:t>
            </w:r>
          </w:p>
        </w:tc>
        <w:tc>
          <w:tcPr>
            <w:tcW w:w="4530" w:type="dxa"/>
            <w:tcBorders>
              <w:top w:val="nil"/>
              <w:bottom w:val="nil"/>
              <w:right w:val="nil"/>
            </w:tcBorders>
            <w:vAlign w:val="center"/>
          </w:tcPr>
          <w:p w14:paraId="328C773A" w14:textId="762B5AC6" w:rsidR="0083364F" w:rsidRPr="00126EF2" w:rsidRDefault="0083364F" w:rsidP="000F1A32">
            <w:pPr>
              <w:jc w:val="left"/>
              <w:rPr>
                <w:rFonts w:eastAsia="Times New Roman" w:cs="Times New Roman"/>
                <w:sz w:val="20"/>
              </w:rPr>
            </w:pPr>
            <w:r w:rsidRPr="00126EF2">
              <w:rPr>
                <w:rFonts w:eastAsia="Times New Roman" w:cs="Times New Roman"/>
                <w:sz w:val="20"/>
              </w:rPr>
              <w:t>Newly added; data provided by NREL</w:t>
            </w:r>
          </w:p>
        </w:tc>
      </w:tr>
      <w:tr w:rsidR="0083364F" w:rsidRPr="00D878B9" w14:paraId="08BAC990" w14:textId="77777777" w:rsidTr="008721F6">
        <w:trPr>
          <w:trHeight w:val="20"/>
        </w:trPr>
        <w:tc>
          <w:tcPr>
            <w:tcW w:w="4820" w:type="dxa"/>
            <w:tcBorders>
              <w:top w:val="nil"/>
              <w:left w:val="nil"/>
              <w:bottom w:val="nil"/>
            </w:tcBorders>
            <w:vAlign w:val="center"/>
          </w:tcPr>
          <w:p w14:paraId="1CC1D610" w14:textId="7ACA0650" w:rsidR="0083364F" w:rsidRPr="00126EF2" w:rsidRDefault="0083364F" w:rsidP="00C51EBD">
            <w:pPr>
              <w:jc w:val="left"/>
              <w:rPr>
                <w:rFonts w:eastAsia="Times New Roman" w:cs="Times New Roman"/>
                <w:sz w:val="20"/>
              </w:rPr>
            </w:pPr>
            <w:r w:rsidRPr="00126EF2">
              <w:rPr>
                <w:rFonts w:eastAsia="Times New Roman" w:cs="Times New Roman"/>
                <w:sz w:val="20"/>
              </w:rPr>
              <w:t>FT-Diesel (biomass/NG)</w:t>
            </w:r>
          </w:p>
        </w:tc>
        <w:tc>
          <w:tcPr>
            <w:tcW w:w="4530" w:type="dxa"/>
            <w:tcBorders>
              <w:top w:val="nil"/>
              <w:bottom w:val="nil"/>
              <w:right w:val="nil"/>
            </w:tcBorders>
            <w:vAlign w:val="center"/>
          </w:tcPr>
          <w:p w14:paraId="533DE659" w14:textId="3C122D11" w:rsidR="0083364F" w:rsidRPr="00126EF2" w:rsidRDefault="0083364F" w:rsidP="000F1A32">
            <w:pPr>
              <w:jc w:val="left"/>
              <w:rPr>
                <w:rFonts w:eastAsia="Times New Roman" w:cs="Times New Roman"/>
                <w:sz w:val="20"/>
              </w:rPr>
            </w:pPr>
            <w:r w:rsidRPr="00126EF2">
              <w:rPr>
                <w:rFonts w:eastAsia="Times New Roman" w:cs="Times New Roman"/>
                <w:sz w:val="20"/>
              </w:rPr>
              <w:t>Newly added; data provided by NREL</w:t>
            </w:r>
          </w:p>
        </w:tc>
      </w:tr>
      <w:tr w:rsidR="0083364F" w:rsidRPr="00D878B9" w14:paraId="7E2D2D67" w14:textId="77777777" w:rsidTr="008721F6">
        <w:trPr>
          <w:trHeight w:val="20"/>
        </w:trPr>
        <w:tc>
          <w:tcPr>
            <w:tcW w:w="4820" w:type="dxa"/>
            <w:tcBorders>
              <w:top w:val="nil"/>
              <w:left w:val="nil"/>
            </w:tcBorders>
            <w:vAlign w:val="center"/>
          </w:tcPr>
          <w:p w14:paraId="5DDBF65A" w14:textId="18BB46EA" w:rsidR="0083364F" w:rsidRPr="00126EF2" w:rsidRDefault="0083364F" w:rsidP="00C51EBD">
            <w:pPr>
              <w:jc w:val="left"/>
              <w:rPr>
                <w:rFonts w:eastAsia="Times New Roman" w:cs="Times New Roman"/>
                <w:sz w:val="20"/>
              </w:rPr>
            </w:pPr>
            <w:r w:rsidRPr="00126EF2">
              <w:rPr>
                <w:rFonts w:eastAsia="Times New Roman" w:cs="Times New Roman"/>
                <w:sz w:val="20"/>
              </w:rPr>
              <w:t>FT-Diesel (biomass/coal)</w:t>
            </w:r>
          </w:p>
        </w:tc>
        <w:tc>
          <w:tcPr>
            <w:tcW w:w="4530" w:type="dxa"/>
            <w:tcBorders>
              <w:top w:val="nil"/>
              <w:right w:val="nil"/>
            </w:tcBorders>
            <w:vAlign w:val="center"/>
          </w:tcPr>
          <w:p w14:paraId="5A86BDD3" w14:textId="62A0BE9B" w:rsidR="0083364F" w:rsidRPr="00126EF2" w:rsidRDefault="0083364F" w:rsidP="000F1A32">
            <w:pPr>
              <w:jc w:val="left"/>
              <w:rPr>
                <w:rFonts w:eastAsia="Times New Roman" w:cs="Times New Roman"/>
                <w:sz w:val="20"/>
              </w:rPr>
            </w:pPr>
            <w:r w:rsidRPr="00126EF2">
              <w:rPr>
                <w:rFonts w:eastAsia="Times New Roman" w:cs="Times New Roman"/>
                <w:sz w:val="20"/>
              </w:rPr>
              <w:t>Newly added; data provided by NREL</w:t>
            </w:r>
          </w:p>
        </w:tc>
      </w:tr>
      <w:tr w:rsidR="0083364F" w:rsidRPr="00D878B9" w14:paraId="0E001018" w14:textId="560702A2" w:rsidTr="008721F6">
        <w:trPr>
          <w:trHeight w:val="20"/>
        </w:trPr>
        <w:tc>
          <w:tcPr>
            <w:tcW w:w="4820" w:type="dxa"/>
            <w:tcBorders>
              <w:left w:val="nil"/>
              <w:bottom w:val="single" w:sz="4" w:space="0" w:color="auto"/>
            </w:tcBorders>
            <w:vAlign w:val="center"/>
            <w:hideMark/>
          </w:tcPr>
          <w:p w14:paraId="0CCF7675" w14:textId="467CB63A" w:rsidR="0083364F" w:rsidRPr="00126EF2" w:rsidRDefault="0083364F" w:rsidP="00C51EBD">
            <w:pPr>
              <w:jc w:val="left"/>
              <w:rPr>
                <w:rFonts w:eastAsia="Times New Roman" w:cs="Times New Roman"/>
                <w:sz w:val="20"/>
              </w:rPr>
            </w:pPr>
            <w:r w:rsidRPr="00126EF2">
              <w:rPr>
                <w:rFonts w:eastAsia="Times New Roman" w:cs="Times New Roman"/>
                <w:sz w:val="20"/>
              </w:rPr>
              <w:t>Pyrolysis oil (woody biomass)</w:t>
            </w:r>
          </w:p>
        </w:tc>
        <w:tc>
          <w:tcPr>
            <w:tcW w:w="4530" w:type="dxa"/>
            <w:tcBorders>
              <w:bottom w:val="single" w:sz="4" w:space="0" w:color="auto"/>
              <w:right w:val="nil"/>
            </w:tcBorders>
            <w:vAlign w:val="center"/>
          </w:tcPr>
          <w:p w14:paraId="65FCE794" w14:textId="0540EC79" w:rsidR="0083364F" w:rsidRPr="00126EF2" w:rsidRDefault="008721F6" w:rsidP="000F1A32">
            <w:pPr>
              <w:jc w:val="left"/>
              <w:rPr>
                <w:rFonts w:eastAsia="Times New Roman" w:cs="Times New Roman"/>
                <w:sz w:val="20"/>
              </w:rPr>
            </w:pPr>
            <w:r w:rsidRPr="00126EF2">
              <w:rPr>
                <w:rFonts w:eastAsia="Times New Roman" w:cs="Times New Roman"/>
                <w:sz w:val="20"/>
              </w:rPr>
              <w:t>Newly added; data provided by PNNL</w:t>
            </w:r>
          </w:p>
        </w:tc>
      </w:tr>
      <w:tr w:rsidR="0083364F" w:rsidRPr="00D878B9" w14:paraId="5272AFF0" w14:textId="77777777" w:rsidTr="008721F6">
        <w:trPr>
          <w:trHeight w:val="20"/>
        </w:trPr>
        <w:tc>
          <w:tcPr>
            <w:tcW w:w="4820" w:type="dxa"/>
            <w:tcBorders>
              <w:left w:val="nil"/>
              <w:bottom w:val="nil"/>
            </w:tcBorders>
            <w:vAlign w:val="center"/>
          </w:tcPr>
          <w:p w14:paraId="01F933F2" w14:textId="0FF05D41" w:rsidR="0083364F" w:rsidRPr="00126EF2" w:rsidRDefault="0083364F" w:rsidP="00C51EBD">
            <w:pPr>
              <w:jc w:val="left"/>
              <w:rPr>
                <w:rFonts w:eastAsia="Times New Roman" w:cs="Times New Roman"/>
                <w:sz w:val="20"/>
              </w:rPr>
            </w:pPr>
            <w:r w:rsidRPr="00126EF2">
              <w:rPr>
                <w:rFonts w:eastAsia="Times New Roman" w:cs="Times New Roman"/>
                <w:sz w:val="20"/>
              </w:rPr>
              <w:t>Renewable diesel (yellow grease/HFO)</w:t>
            </w:r>
          </w:p>
        </w:tc>
        <w:tc>
          <w:tcPr>
            <w:tcW w:w="4530" w:type="dxa"/>
            <w:tcBorders>
              <w:bottom w:val="nil"/>
              <w:right w:val="nil"/>
            </w:tcBorders>
            <w:vAlign w:val="center"/>
          </w:tcPr>
          <w:p w14:paraId="504A6E34" w14:textId="7E741319" w:rsidR="0083364F" w:rsidRPr="00126EF2" w:rsidRDefault="0083364F" w:rsidP="000F1A32">
            <w:pPr>
              <w:jc w:val="left"/>
              <w:rPr>
                <w:rFonts w:eastAsia="Times New Roman" w:cs="Times New Roman"/>
                <w:sz w:val="20"/>
              </w:rPr>
            </w:pPr>
            <w:r w:rsidRPr="00126EF2">
              <w:rPr>
                <w:rFonts w:eastAsia="Times New Roman" w:cs="Times New Roman"/>
                <w:sz w:val="20"/>
              </w:rPr>
              <w:t>Newly added; data provided by PNNL</w:t>
            </w:r>
          </w:p>
        </w:tc>
      </w:tr>
      <w:tr w:rsidR="0083364F" w:rsidRPr="00D878B9" w14:paraId="72CE74E8" w14:textId="2220ABEF" w:rsidTr="008721F6">
        <w:trPr>
          <w:trHeight w:val="20"/>
        </w:trPr>
        <w:tc>
          <w:tcPr>
            <w:tcW w:w="4820" w:type="dxa"/>
            <w:tcBorders>
              <w:top w:val="nil"/>
              <w:left w:val="nil"/>
            </w:tcBorders>
            <w:vAlign w:val="center"/>
            <w:hideMark/>
          </w:tcPr>
          <w:p w14:paraId="2B017ABD" w14:textId="20F3234E" w:rsidR="0083364F" w:rsidRPr="00126EF2" w:rsidRDefault="0083364F" w:rsidP="00C51EBD">
            <w:pPr>
              <w:jc w:val="left"/>
              <w:rPr>
                <w:rFonts w:eastAsia="Times New Roman" w:cs="Times New Roman"/>
                <w:sz w:val="20"/>
              </w:rPr>
            </w:pPr>
            <w:r w:rsidRPr="00126EF2">
              <w:rPr>
                <w:rFonts w:eastAsia="Times New Roman" w:cs="Times New Roman"/>
                <w:sz w:val="20"/>
              </w:rPr>
              <w:t>Renewable diesel (yellow grease)</w:t>
            </w:r>
          </w:p>
        </w:tc>
        <w:tc>
          <w:tcPr>
            <w:tcW w:w="4530" w:type="dxa"/>
            <w:tcBorders>
              <w:top w:val="nil"/>
              <w:right w:val="nil"/>
            </w:tcBorders>
            <w:vAlign w:val="center"/>
          </w:tcPr>
          <w:p w14:paraId="5A70C3AB" w14:textId="63D8AD6C" w:rsidR="0083364F" w:rsidRPr="00126EF2" w:rsidRDefault="008721F6" w:rsidP="000F1A32">
            <w:pPr>
              <w:jc w:val="left"/>
              <w:rPr>
                <w:rFonts w:eastAsia="Times New Roman" w:cs="Times New Roman"/>
                <w:sz w:val="20"/>
              </w:rPr>
            </w:pPr>
            <w:r w:rsidRPr="00126EF2">
              <w:rPr>
                <w:rFonts w:eastAsia="Times New Roman" w:cs="Times New Roman"/>
                <w:sz w:val="20"/>
              </w:rPr>
              <w:t>Newly added; data provided by PNNL</w:t>
            </w:r>
          </w:p>
        </w:tc>
      </w:tr>
      <w:tr w:rsidR="005F32DF" w:rsidRPr="00D878B9" w14:paraId="0EBEF1EB" w14:textId="77777777" w:rsidTr="008721F6">
        <w:trPr>
          <w:trHeight w:val="20"/>
        </w:trPr>
        <w:tc>
          <w:tcPr>
            <w:tcW w:w="4820" w:type="dxa"/>
            <w:tcBorders>
              <w:left w:val="nil"/>
            </w:tcBorders>
            <w:vAlign w:val="center"/>
          </w:tcPr>
          <w:p w14:paraId="6BAB2B8F" w14:textId="5A3849A2" w:rsidR="005F32DF" w:rsidRPr="0083364F" w:rsidRDefault="005F32DF" w:rsidP="00C51EBD">
            <w:pPr>
              <w:jc w:val="left"/>
              <w:rPr>
                <w:rFonts w:eastAsia="Times New Roman" w:cs="Times New Roman"/>
                <w:color w:val="000000"/>
                <w:sz w:val="20"/>
              </w:rPr>
            </w:pPr>
            <w:r w:rsidRPr="0083364F">
              <w:rPr>
                <w:rFonts w:eastAsia="Times New Roman" w:cs="Times New Roman"/>
                <w:color w:val="000000"/>
                <w:sz w:val="20"/>
              </w:rPr>
              <w:t>Straight Vegetable Oil (SVO)</w:t>
            </w:r>
          </w:p>
        </w:tc>
        <w:tc>
          <w:tcPr>
            <w:tcW w:w="4530" w:type="dxa"/>
            <w:tcBorders>
              <w:right w:val="nil"/>
            </w:tcBorders>
            <w:vAlign w:val="center"/>
          </w:tcPr>
          <w:p w14:paraId="20B30476" w14:textId="3C6DC396" w:rsidR="005F32DF" w:rsidRPr="00D878B9" w:rsidRDefault="005F32DF" w:rsidP="000F1A32">
            <w:pPr>
              <w:jc w:val="left"/>
              <w:rPr>
                <w:rFonts w:eastAsia="Times New Roman" w:cs="Times New Roman"/>
                <w:color w:val="000000"/>
                <w:sz w:val="20"/>
              </w:rPr>
            </w:pPr>
            <w:r w:rsidRPr="00D878B9">
              <w:rPr>
                <w:rFonts w:eastAsia="Times New Roman" w:cs="Times New Roman"/>
                <w:color w:val="000000"/>
                <w:sz w:val="20"/>
              </w:rPr>
              <w:t>Soy oil in GREET</w:t>
            </w:r>
          </w:p>
        </w:tc>
      </w:tr>
      <w:tr w:rsidR="0083364F" w:rsidRPr="00D878B9" w14:paraId="2BA56D85" w14:textId="330F5AC7" w:rsidTr="008721F6">
        <w:trPr>
          <w:trHeight w:val="20"/>
        </w:trPr>
        <w:tc>
          <w:tcPr>
            <w:tcW w:w="4820" w:type="dxa"/>
            <w:tcBorders>
              <w:left w:val="nil"/>
            </w:tcBorders>
            <w:vAlign w:val="center"/>
            <w:hideMark/>
          </w:tcPr>
          <w:p w14:paraId="7567D6B9" w14:textId="77777777" w:rsidR="0083364F" w:rsidRPr="0083364F" w:rsidRDefault="0083364F" w:rsidP="00C51EBD">
            <w:pPr>
              <w:jc w:val="left"/>
              <w:rPr>
                <w:rFonts w:eastAsia="Times New Roman" w:cs="Times New Roman"/>
                <w:color w:val="000000"/>
                <w:sz w:val="20"/>
              </w:rPr>
            </w:pPr>
            <w:r w:rsidRPr="0083364F">
              <w:rPr>
                <w:rFonts w:eastAsia="Times New Roman" w:cs="Times New Roman"/>
                <w:color w:val="000000"/>
                <w:sz w:val="20"/>
              </w:rPr>
              <w:t>Biodiesel</w:t>
            </w:r>
          </w:p>
        </w:tc>
        <w:tc>
          <w:tcPr>
            <w:tcW w:w="4530" w:type="dxa"/>
            <w:tcBorders>
              <w:right w:val="nil"/>
            </w:tcBorders>
            <w:vAlign w:val="center"/>
          </w:tcPr>
          <w:p w14:paraId="6F1A4E18" w14:textId="5A540FAD" w:rsidR="0083364F" w:rsidRPr="00D878B9" w:rsidRDefault="008721F6" w:rsidP="000F1A32">
            <w:pPr>
              <w:jc w:val="left"/>
              <w:rPr>
                <w:rFonts w:eastAsia="Times New Roman" w:cs="Times New Roman"/>
                <w:color w:val="000000"/>
                <w:sz w:val="20"/>
              </w:rPr>
            </w:pPr>
            <w:r w:rsidRPr="00D878B9">
              <w:rPr>
                <w:rFonts w:eastAsia="Times New Roman" w:cs="Times New Roman"/>
                <w:color w:val="000000"/>
                <w:sz w:val="20"/>
              </w:rPr>
              <w:t>Biodiesel in GREET</w:t>
            </w:r>
          </w:p>
        </w:tc>
      </w:tr>
    </w:tbl>
    <w:p w14:paraId="1E0ED8A9" w14:textId="77777777" w:rsidR="000005A2" w:rsidRDefault="000005A2" w:rsidP="000F1A32">
      <w:pPr>
        <w:spacing w:after="0" w:line="240" w:lineRule="auto"/>
        <w:ind w:firstLine="720"/>
      </w:pPr>
    </w:p>
    <w:p w14:paraId="027DAF93" w14:textId="0BAC381F" w:rsidR="0085434B" w:rsidRDefault="000005A2" w:rsidP="00C51EBD">
      <w:pPr>
        <w:spacing w:after="0" w:line="240" w:lineRule="auto"/>
      </w:pPr>
      <w:r>
        <w:t xml:space="preserve">In order to compare the life-cycle GHG and CAP emissions for these marine fuels, </w:t>
      </w:r>
      <w:r w:rsidR="00CD74DA">
        <w:t xml:space="preserve">it is essential to have a </w:t>
      </w:r>
      <w:r>
        <w:t xml:space="preserve">consistent system boundary with reliable datasets. The </w:t>
      </w:r>
      <w:r w:rsidRPr="00F66FBB">
        <w:t xml:space="preserve">Greenhouse gases, Regulated Emissions, and Energy use in Transportation </w:t>
      </w:r>
      <w:r>
        <w:t>(GREET</w:t>
      </w:r>
      <w:r w:rsidRPr="00F66FBB">
        <w:rPr>
          <w:vertAlign w:val="superscript"/>
        </w:rPr>
        <w:t>®</w:t>
      </w:r>
      <w:r>
        <w:t xml:space="preserve">) model </w:t>
      </w:r>
      <w:r>
        <w:fldChar w:fldCharType="begin"/>
      </w:r>
      <w:r w:rsidR="00834B97">
        <w:instrText xml:space="preserve"> ADDIN ZOTERO_ITEM CSL_CITATION {"citationID":"a2eg9s7s984","properties":{"formattedCitation":"[1]","plainCitation":"[1]","noteIndex":0},"citationItems":[{"id":3153,"uris":["http://zotero.org/users/2367688/items/HA262LSH"],"uri":["http://zotero.org/users/2367688/items/HA262LSH"],"itemData":{"id":3153,"type":"book","title":"Greenhouse gases, Regulated Emissions, and Energy use in Transportation (GREET) Model","source":"Google Scholar","author":[{"literal":"Argonne"}],"issued":{"date-parts":[["2018"]]}}}],"schema":"https://github.com/citation-style-language/schema/raw/master/csl-citation.json"} </w:instrText>
      </w:r>
      <w:r>
        <w:fldChar w:fldCharType="separate"/>
      </w:r>
      <w:r w:rsidRPr="001A519A">
        <w:rPr>
          <w:rFonts w:cs="Times New Roman"/>
        </w:rPr>
        <w:t>[1]</w:t>
      </w:r>
      <w:r>
        <w:fldChar w:fldCharType="end"/>
      </w:r>
      <w:r>
        <w:t xml:space="preserve"> is a tool with significant datasets enabl</w:t>
      </w:r>
      <w:r w:rsidR="004B217A">
        <w:t>ing</w:t>
      </w:r>
      <w:r>
        <w:t xml:space="preserve"> a systematic LCA of various transportation fuels. This</w:t>
      </w:r>
      <w:r w:rsidR="004B217A">
        <w:t xml:space="preserve"> model</w:t>
      </w:r>
      <w:r>
        <w:t xml:space="preserve"> includes all processes associated with feedstock recovery, feedstock transportation, fuel production, fuel transportation, and fuel combustion. Since the analysis covers from feedstock recover</w:t>
      </w:r>
      <w:r w:rsidR="004B217A">
        <w:t>y</w:t>
      </w:r>
      <w:r>
        <w:t xml:space="preserve"> (well) to pump (WTP) and pump-to-hull (fuel combustion) (PTH), we call life-cycle of marine fuels as well-to-hull (WTH)</w:t>
      </w:r>
      <w:r w:rsidR="004B217A">
        <w:t xml:space="preserve"> </w:t>
      </w:r>
      <w:r w:rsidR="004B217A">
        <w:fldChar w:fldCharType="begin"/>
      </w:r>
      <w:r w:rsidR="00834B97">
        <w:instrText xml:space="preserve"> ADDIN ZOTERO_ITEM CSL_CITATION {"citationID":"a9eo35jeas","properties":{"formattedCitation":"[2]","plainCitation":"[2]","noteIndex":0},"citationItems":[{"id":3224,"uris":["http://zotero.org/users/2367688/items/MSZWRZTV"],"uri":["http://zotero.org/users/2367688/items/MSZWRZTV"],"itemData":{"id":3224,"type":"article-journal","title":"Life cycle analysis of conventional and alternative marine fuels in GREET","container-title":"Energy Systems Devision. Argonne National Laboratory, Argonne, IL","page":"58","source":"Google Scholar","author":[{"family":"Adom","given":"Felix"},{"family":"Dunn","given":"Jennifer B."},{"family":"Elgowainy","given":"Amgad"},{"family":"Han","given":"Jeongwoo"},{"family":"Wang","given":"Michael"}],"issued":{"date-parts":[["2013"]]}}}],"schema":"https://github.com/citation-style-language/schema/raw/master/csl-citation.json"} </w:instrText>
      </w:r>
      <w:r w:rsidR="004B217A">
        <w:fldChar w:fldCharType="separate"/>
      </w:r>
      <w:r w:rsidR="004B217A" w:rsidRPr="004B217A">
        <w:rPr>
          <w:rFonts w:cs="Times New Roman"/>
          <w:szCs w:val="24"/>
        </w:rPr>
        <w:t>[2]</w:t>
      </w:r>
      <w:r w:rsidR="004B217A">
        <w:fldChar w:fldCharType="end"/>
      </w:r>
      <w:r>
        <w:t>.</w:t>
      </w:r>
      <w:r w:rsidR="004B217A">
        <w:t xml:space="preserve"> WTP of petroleum products (HFO, </w:t>
      </w:r>
      <w:r>
        <w:t>MGO</w:t>
      </w:r>
      <w:r w:rsidR="004B217A">
        <w:t>, and MDO</w:t>
      </w:r>
      <w:r>
        <w:t xml:space="preserve">) include crude oil recovery, crude oil transportation, crude oil refining for HFO and MGO production, and fuel transportation. All the parameters for these processes are from GREET </w:t>
      </w:r>
      <w:r>
        <w:fldChar w:fldCharType="begin"/>
      </w:r>
      <w:r w:rsidR="00834B97">
        <w:instrText xml:space="preserve"> ADDIN ZOTERO_ITEM CSL_CITATION {"citationID":"PpHcQfdj","properties":{"formattedCitation":"[1]","plainCitation":"[1]","noteIndex":0},"citationItems":[{"id":3153,"uris":["http://zotero.org/users/2367688/items/HA262LSH"],"uri":["http://zotero.org/users/2367688/items/HA262LSH"],"itemData":{"id":3153,"type":"book","title":"Greenhouse gases, Regulated Emissions, and Energy use in Transportation (GREET) Model","source":"Google Scholar","author":[{"literal":"Argonne"}],"issued":{"date-parts":[["2018"]]}}}],"schema":"https://github.com/citation-style-language/schema/raw/master/csl-citation.json"} </w:instrText>
      </w:r>
      <w:r>
        <w:fldChar w:fldCharType="separate"/>
      </w:r>
      <w:r w:rsidRPr="001A519A">
        <w:rPr>
          <w:rFonts w:cs="Times New Roman"/>
        </w:rPr>
        <w:t>[1]</w:t>
      </w:r>
      <w:r>
        <w:fldChar w:fldCharType="end"/>
      </w:r>
      <w:r>
        <w:t xml:space="preserve"> which are mainly based on </w:t>
      </w:r>
      <w:r>
        <w:lastRenderedPageBreak/>
        <w:t xml:space="preserve">the studies by Elgowainy et al. </w:t>
      </w:r>
      <w:r>
        <w:fldChar w:fldCharType="begin"/>
      </w:r>
      <w:r w:rsidR="00834B97">
        <w:instrText xml:space="preserve"> ADDIN ZOTERO_ITEM CSL_CITATION {"citationID":"a2plp8tbsl6","properties":{"formattedCitation":"[3]","plainCitation":"[3]","noteIndex":0},"citationItems":[{"id":748,"uris":["http://zotero.org/users/2367688/items/EHWXNMNH"],"uri":["http://zotero.org/users/2367688/items/EHWXNMNH"],"itemData":{"id":748,"type":"article-journal","title":"Energy Efficiency and Greenhouse Gas Emission Intensity of Petroleum Products at U.S. Refineries","container-title":"Environmental Science &amp; Technology","page":"7612-7624","volume":"48","issue":"13","source":"ACS Publications","abstract":"This paper describes the development of (1) a formula correlating the variation in overall refinery energy efficiency with crude quality, refinery complexity, and product slate; and (2) a methodology for calculating energy and greenhouse gas (GHG) emission intensities and processing fuel shares of major U.S. refinery products. Overall refinery energy efficiency is the ratio of the energy present in all product streams divided by the energy in all input streams. Using linear programming (LP) modeling of the various refinery processing units, we analyzed 43 refineries that process 70% of total crude input to U.S. refineries and cover the largest four Petroleum Administration for Defense District (PADD) regions (I, II, III, V). Based on the allocation of process energy among products at the process unit level, the weighted-average product-specific energy efficiencies (and ranges) are estimated to be 88.6% (86.2%?91.2%) for gasoline, 90.9% (84.8%?94.5%) for diesel, 95.3% (93.0%?97.5%) for jet fuel, 94.5% (91.6%?96.2%) for residual fuel oil (RFO), and 90.8% (88.0%?94.3%) for liquefied petroleum gas (LPG). The corresponding weighted-average, production GHG emission intensities (and ranges) (in grams of carbon dioxide-equivalent (CO2e) per megajoule (MJ)) are estimated to be 7.8 (6.2?9.8) for gasoline, 4.9 (2.7?9.9) for diesel, 2.3 (0.9?4.4) for jet fuel, 3.4 (1.5?6.9) for RFO, and 6.6 (4.3?9.2) for LPG. The findings of this study are key components of the life-cycle assessment of GHG emissions associated with various petroleum fuels; such assessment is the centerpiece of legislation developed and promulgated by government agencies in the United States and abroad to reduce GHG emissions and abate global warming.","DOI":"10.1021/es5010347","ISSN":"0013-936X","journalAbbreviation":"Environ. Sci. Technol.","author":[{"family":"Elgowainy","given":"Amgad"},{"family":"Han","given":"Jeongwoo"},{"family":"Cai","given":"Hao"},{"family":"Wang","given":"Michael"},{"family":"Forman","given":"Grant S."},{"family":"DiVita","given":"Vincent B."}],"issued":{"date-parts":[["2014",7,1]]}}}],"schema":"https://github.com/citation-style-language/schema/raw/master/csl-citation.json"} </w:instrText>
      </w:r>
      <w:r>
        <w:fldChar w:fldCharType="separate"/>
      </w:r>
      <w:r w:rsidR="004B217A" w:rsidRPr="004B217A">
        <w:rPr>
          <w:rFonts w:cs="Times New Roman"/>
        </w:rPr>
        <w:t>[3]</w:t>
      </w:r>
      <w:r>
        <w:fldChar w:fldCharType="end"/>
      </w:r>
      <w:r>
        <w:t xml:space="preserve"> and </w:t>
      </w:r>
      <w:r w:rsidRPr="007E1EDF">
        <w:t>Forman</w:t>
      </w:r>
      <w:r>
        <w:t xml:space="preserve"> et al. </w:t>
      </w:r>
      <w:r>
        <w:fldChar w:fldCharType="begin"/>
      </w:r>
      <w:r w:rsidR="00834B97">
        <w:instrText xml:space="preserve"> ADDIN ZOTERO_ITEM CSL_CITATION {"citationID":"alrbeh3ddl","properties":{"formattedCitation":"[4]","plainCitation":"[4]","noteIndex":0},"citationItems":[{"id":810,"uris":["http://zotero.org/users/2367688/items/U9BMJQK9"],"uri":["http://zotero.org/users/2367688/items/U9BMJQK9"],"itemData":{"id":810,"type":"article-journal","title":"U.S. Refinery Efficiency: Impacts Analysis and Implications for Fuel Carbon Policy Implementation","container-title":"Environmental Science &amp; Technology","page":"7625-7633","volume":"48","issue":"13","source":"ACS Publications","abstract":"In the next two decades, the U.S. refining industry will face significant changes resulting from a rapidly evolving domestic petroleum energy landscape. The rapid influx of domestically sourced tight light oil and relative demand shifts for gasoline and diesel will impose challenges on the ability of the U.S. refining industry to satisfy both demand and quality requirements. This study uses results from Linear Programming (LP) modeling data to examine the potential impacts of these changes on refinery, process unit, and product-specific efficiencies, focusing on current baseline efficiency values across 43 existing large U.S. refineries that are operating today. These results suggest that refinery and product-specific efficiency values are sensitive to crude quality, seasonal and regional factors, and refinery configuration and complexity, which are determined by final fuel specification requirements. Additional processing of domestically sourced tight light oil could marginally increase refinery efficiency, but these benefits could be offset by crude rebalancing. The dynamic relationship between efficiency and key parameters such as crude API gravity, sulfur content, heavy products, residual upgrading, and complexity are key to understanding possible future changes in refinery efficiency. Relative to gasoline, the efficiency of diesel production is highly variable, and is influenced by the number and severity of units required to produce diesel. To respond to future demand requirements, refiners will need to reduce the gasoline/diesel (G/D) production ratio, which will likely result in greater volumes of diesel being produced through less efficient pathways resulting in reduced efficiency, particularly on the marginal barrel of diesel. This decline in diesel efficiency could be offset by blending of Gas to Liquids (GTL) diesel, which could allow refiners to uplift intermediate fuel streams into more efficient diesel production pathways, thereby allowing for the efficient production of incremental barrels of diesel without added capital investment for the refiner. Given the current wide range of refinery carbon intensity values of baseline transportation fuels in LCA models, this study has shown that the determination of refinery, unit, and product efficiency values requires careful consideration in the context of specific transportation fuel GHG policy objectives.","DOI":"10.1021/es501035a","ISSN":"0013-936X","title-short":"U.S. Refinery Efficiency","journalAbbreviation":"Environ. Sci. Technol.","author":[{"family":"Forman","given":"Grant S."},{"family":"Divita","given":"Vincent B."},{"family":"Han","given":"Jeongwoo"},{"family":"Cai","given":"Hao"},{"family":"Elgowainy","given":"Amgad"},{"family":"Wang","given":"Michael"}],"issued":{"date-parts":[["2014",7,1]]}}}],"schema":"https://github.com/citation-style-language/schema/raw/master/csl-citation.json"} </w:instrText>
      </w:r>
      <w:r>
        <w:fldChar w:fldCharType="separate"/>
      </w:r>
      <w:r w:rsidR="004B217A" w:rsidRPr="004B217A">
        <w:rPr>
          <w:rFonts w:cs="Times New Roman"/>
        </w:rPr>
        <w:t>[4]</w:t>
      </w:r>
      <w:r>
        <w:fldChar w:fldCharType="end"/>
      </w:r>
      <w:r>
        <w:t xml:space="preserve">. For LNG production, WTP covers both conventional NG and shale gas recovery, NG processing, transportation, and liquefaction which are documented in the earlier papers </w:t>
      </w:r>
      <w:r>
        <w:fldChar w:fldCharType="begin"/>
      </w:r>
      <w:r w:rsidR="00834B97">
        <w:instrText xml:space="preserve"> ADDIN ZOTERO_ITEM CSL_CITATION {"citationID":"a1a7t9c16i2","properties":{"formattedCitation":"[5\\uc0\\u8211{}7]","plainCitation":"[5–7]","noteIndex":0},"citationItems":[{"id":802,"uris":["http://zotero.org/users/2367688/items/JUA9X4N6"],"uri":["http://zotero.org/users/2367688/items/JUA9X4N6"],"itemData":{"id":802,"type":"article-journal","title":"Life-cycle greenhouse gas emissions of shale gas, natural gas, coal, and petroleum","container-title":"Environmental science &amp; technology","page":"619–627","volume":"46","issue":"2","source":"Google Scholar","author":[{"family":"Burnham","given":"Andrew"},{"family":"Han","given":"Jeongwoo"},{"family":"Clark","given":"Corrie E."},{"family":"Wang","given":"Michael"},{"family":"Dunn","given":"Jennifer B."},{"family":"Palou-Rivera","given":"Ignasi"}],"issued":{"date-parts":[["2011"]]}}},{"id":3198,"uris":["http://zotero.org/users/2367688/items/UY3VTMKV"],"uri":["http://zotero.org/users/2367688/items/UY3VTMKV"],"itemData":{"id":3198,"type":"article-journal","title":"Wells to wheels: Environmental implications of natural gas as a transportation fuel","container-title":"Energy Policy","page":"565–578","volume":"109","author":[{"family":"Cai","given":"Hao"},{"family":"Burnham","given":"Andrew"},{"family":"Chen","given":"Rui"},{"family":"Wang","given":"Michael"}],"issued":{"date-parts":[["2017"]]}}},{"id":3194,"uris":["http://zotero.org/users/2367688/items/JH3RN5ME"],"uri":["http://zotero.org/users/2367688/items/JH3RN5ME"],"itemData":{"id":3194,"type":"article","title":"Updated natural gas pathways in the GREET1_2018 model","URL":"https://greet.es.anl.gov/publication-update_ng_2018","author":[{"literal":"Andrew Burnham"}],"issued":{"date-parts":[["2018",10]]},"accessed":{"date-parts":[["2019",8,28]]}}}],"schema":"https://github.com/citation-style-language/schema/raw/master/csl-citation.json"} </w:instrText>
      </w:r>
      <w:r>
        <w:fldChar w:fldCharType="separate"/>
      </w:r>
      <w:r w:rsidR="004B217A" w:rsidRPr="004B217A">
        <w:rPr>
          <w:rFonts w:cs="Times New Roman"/>
          <w:szCs w:val="24"/>
        </w:rPr>
        <w:t>[5–7]</w:t>
      </w:r>
      <w:r>
        <w:fldChar w:fldCharType="end"/>
      </w:r>
      <w:r>
        <w:t>. For the parameters of the new fuel production processes (</w:t>
      </w:r>
      <w:r w:rsidR="004B217A">
        <w:t>FTD</w:t>
      </w:r>
      <w:r>
        <w:t xml:space="preserve">, pyrolysis oil, and renewable diesel), we documented inputs and outputs of the processes in the following sections. </w:t>
      </w:r>
      <w:r w:rsidR="004B217A">
        <w:t>For SVO, w</w:t>
      </w:r>
      <w:r>
        <w:t xml:space="preserve">e used parameters </w:t>
      </w:r>
      <w:r w:rsidR="004B217A">
        <w:t xml:space="preserve">of soy oil production </w:t>
      </w:r>
      <w:r>
        <w:t>in GREET</w:t>
      </w:r>
      <w:r w:rsidR="004B217A">
        <w:t>,</w:t>
      </w:r>
      <w:r>
        <w:t xml:space="preserve"> and </w:t>
      </w:r>
      <w:r w:rsidR="004B217A">
        <w:t xml:space="preserve">biodiesel is assumed to be 100% from </w:t>
      </w:r>
      <w:r>
        <w:t>soybean</w:t>
      </w:r>
      <w:r w:rsidR="004B217A">
        <w:t xml:space="preserve"> via </w:t>
      </w:r>
      <w:r w:rsidR="004B217A" w:rsidRPr="004B217A">
        <w:t>transesterification</w:t>
      </w:r>
      <w:r>
        <w:t xml:space="preserve">. </w:t>
      </w:r>
      <w:r w:rsidR="00101BDC">
        <w:t xml:space="preserve">In case there are products other than marine fuels, energy allocation is used. </w:t>
      </w:r>
      <w:r w:rsidR="0033487B">
        <w:t xml:space="preserve">For </w:t>
      </w:r>
      <w:r w:rsidR="00126EF2">
        <w:t>global warming potential (GWP)</w:t>
      </w:r>
      <w:r w:rsidR="0033487B">
        <w:t xml:space="preserve"> values,</w:t>
      </w:r>
      <w:r w:rsidR="00126EF2">
        <w:t xml:space="preserve"> </w:t>
      </w:r>
      <w:r w:rsidR="00772996">
        <w:t xml:space="preserve">the </w:t>
      </w:r>
      <w:r w:rsidR="00772996" w:rsidRPr="00126EF2">
        <w:t>Fifth Assessment Report (AR5)</w:t>
      </w:r>
      <w:r w:rsidR="00772996">
        <w:t xml:space="preserve"> </w:t>
      </w:r>
      <w:r w:rsidR="00126EF2">
        <w:t xml:space="preserve">of </w:t>
      </w:r>
      <w:r w:rsidR="00454492">
        <w:t xml:space="preserve">the </w:t>
      </w:r>
      <w:r w:rsidR="00126EF2" w:rsidRPr="00126EF2">
        <w:t>Intergovernmental Panel on Climate Change</w:t>
      </w:r>
      <w:r w:rsidR="00126EF2">
        <w:t xml:space="preserve"> (IPCC) </w:t>
      </w:r>
      <w:r w:rsidR="00772996">
        <w:t>was</w:t>
      </w:r>
      <w:r w:rsidR="0033487B">
        <w:t xml:space="preserve"> used </w:t>
      </w:r>
      <w:r w:rsidR="00126EF2">
        <w:fldChar w:fldCharType="begin"/>
      </w:r>
      <w:r w:rsidR="00834B97">
        <w:instrText xml:space="preserve"> ADDIN ZOTERO_ITEM CSL_CITATION {"citationID":"akbnapm6qk","properties":{"formattedCitation":"[8]","plainCitation":"[8]","noteIndex":0},"citationItems":[{"id":219,"uris":["http://zotero.org/users/2367688/items/KSWHJHRB"],"uri":["http://zotero.org/users/2367688/items/KSWHJHRB"],"itemData":{"id":219,"type":"report","title":"IPCC Fifth Assessment Report","author":[{"literal":"IPCC"}],"issued":{"date-parts":[["2013"]]}}}],"schema":"https://github.com/citation-style-language/schema/raw/master/csl-citation.json"} </w:instrText>
      </w:r>
      <w:r w:rsidR="00126EF2">
        <w:fldChar w:fldCharType="separate"/>
      </w:r>
      <w:r w:rsidR="004B217A" w:rsidRPr="004B217A">
        <w:rPr>
          <w:rFonts w:cs="Times New Roman"/>
        </w:rPr>
        <w:t>[8]</w:t>
      </w:r>
      <w:r w:rsidR="00126EF2">
        <w:fldChar w:fldCharType="end"/>
      </w:r>
      <w:r w:rsidR="00126EF2">
        <w:t>.</w:t>
      </w:r>
      <w:r w:rsidR="0033487B">
        <w:t xml:space="preserve"> </w:t>
      </w:r>
      <w:r w:rsidR="00772996">
        <w:t>All f</w:t>
      </w:r>
      <w:r w:rsidR="0033487B">
        <w:t xml:space="preserve">uel specifications are presented in </w:t>
      </w:r>
      <w:r w:rsidR="003C2F94">
        <w:fldChar w:fldCharType="begin"/>
      </w:r>
      <w:r w:rsidR="003C2F94">
        <w:instrText xml:space="preserve"> REF _Ref18351169 \h </w:instrText>
      </w:r>
      <w:r w:rsidR="003C2F94">
        <w:fldChar w:fldCharType="separate"/>
      </w:r>
      <w:r w:rsidR="00AA250B">
        <w:t>Table A</w:t>
      </w:r>
      <w:r w:rsidR="00AA250B">
        <w:rPr>
          <w:noProof/>
        </w:rPr>
        <w:t>1</w:t>
      </w:r>
      <w:r w:rsidR="003C2F94">
        <w:fldChar w:fldCharType="end"/>
      </w:r>
      <w:r w:rsidR="0033487B">
        <w:t xml:space="preserve">. </w:t>
      </w:r>
      <w:r w:rsidR="0085434B">
        <w:t xml:space="preserve"> </w:t>
      </w:r>
    </w:p>
    <w:p w14:paraId="68F1AEDD" w14:textId="77777777" w:rsidR="00C51EBD" w:rsidRDefault="00C51EBD" w:rsidP="00C51EBD">
      <w:pPr>
        <w:spacing w:after="0" w:line="240" w:lineRule="auto"/>
      </w:pPr>
    </w:p>
    <w:p w14:paraId="3666B5B0" w14:textId="77777777" w:rsidR="0085434B" w:rsidRPr="00BA2EEB" w:rsidRDefault="0085434B" w:rsidP="000F1A32">
      <w:pPr>
        <w:spacing w:after="0" w:line="240" w:lineRule="auto"/>
      </w:pPr>
    </w:p>
    <w:p w14:paraId="59646B36" w14:textId="2419E261" w:rsidR="00236517" w:rsidRDefault="006012D7" w:rsidP="00C51EBD">
      <w:pPr>
        <w:pStyle w:val="Heading2"/>
      </w:pPr>
      <w:r>
        <w:t xml:space="preserve">Production of </w:t>
      </w:r>
      <w:r w:rsidR="00236517">
        <w:t>HFO and MGO</w:t>
      </w:r>
      <w:r>
        <w:t xml:space="preserve"> with Low Sulfur Content</w:t>
      </w:r>
    </w:p>
    <w:p w14:paraId="19D0FCAC" w14:textId="7F2D319B" w:rsidR="009C3436" w:rsidRDefault="00455BB0" w:rsidP="00C51EBD">
      <w:pPr>
        <w:spacing w:after="0" w:line="240" w:lineRule="auto"/>
      </w:pPr>
      <w:r>
        <w:t>R</w:t>
      </w:r>
      <w:r w:rsidR="00CF419D">
        <w:t xml:space="preserve">esidual oil and unfinished oil in GREET </w:t>
      </w:r>
      <w:r>
        <w:t xml:space="preserve">are used </w:t>
      </w:r>
      <w:r w:rsidR="00CF419D">
        <w:t xml:space="preserve">for HFO </w:t>
      </w:r>
      <w:r w:rsidR="00B322B4">
        <w:t>(</w:t>
      </w:r>
      <w:r w:rsidR="00CF419D">
        <w:t>2.7%</w:t>
      </w:r>
      <w:r w:rsidR="00B322B4">
        <w:t xml:space="preserve"> sulfur)</w:t>
      </w:r>
      <w:r w:rsidR="00CF419D">
        <w:t xml:space="preserve"> and MGO </w:t>
      </w:r>
      <w:r w:rsidR="00B322B4">
        <w:t>(</w:t>
      </w:r>
      <w:r w:rsidR="00CF419D">
        <w:t>1.0%</w:t>
      </w:r>
      <w:r w:rsidR="00B322B4">
        <w:t xml:space="preserve"> sulfur)</w:t>
      </w:r>
      <w:r w:rsidR="00CF419D">
        <w:t xml:space="preserve">, respectively. In order for </w:t>
      </w:r>
      <w:r>
        <w:t xml:space="preserve">production of low sulfur marine fuels via </w:t>
      </w:r>
      <w:r w:rsidR="000005A2">
        <w:t>desulfurization</w:t>
      </w:r>
      <w:r w:rsidR="00CF419D">
        <w:t xml:space="preserve">, additional </w:t>
      </w:r>
      <w:r>
        <w:t xml:space="preserve">processes with </w:t>
      </w:r>
      <w:r w:rsidR="00CF419D">
        <w:t xml:space="preserve">hydrogen inputs are required. Due to limited information to perform simulations to estimate additional inputs and allocated emissions, we used a regression equation to estimate hydrogen inputs. </w:t>
      </w:r>
      <w:r w:rsidR="009C3436">
        <w:t xml:space="preserve">McKetta </w:t>
      </w:r>
      <w:r w:rsidR="009C3436">
        <w:fldChar w:fldCharType="begin"/>
      </w:r>
      <w:r w:rsidR="00834B97">
        <w:instrText xml:space="preserve"> ADDIN ZOTERO_ITEM CSL_CITATION {"citationID":"a2ki1akiu6","properties":{"formattedCitation":"[9]","plainCitation":"[9]","noteIndex":0},"citationItems":[{"id":3204,"uris":["http://zotero.org/users/2367688/items/H2V7FJ4D"],"uri":["http://zotero.org/users/2367688/items/H2V7FJ4D"],"itemData":{"id":3204,"type":"book","title":"Petroleum Processing Handbook","publisher":"CRC Press","publisher-place":"New York","number-of-pages":"792","edition":"1 edition","source":"Amazon","event-place":"New York","abstract":"A reference that details the pertinent chemical reactions and emphasizes the plant design and operations of petroleum processing procedures. The handbook is divided into four sections: products, refining, manufacturing processes, and treating processes. Wherever possible, shortcut methods of calcula","ISBN":"978-0-8247-8681-6","language":"English","editor":[{"family":"J","given":"McKetta Jr","suffix":"John"}],"issued":{"date-parts":[["1992",4,30]]}}}],"schema":"https://github.com/citation-style-language/schema/raw/master/csl-citation.json"} </w:instrText>
      </w:r>
      <w:r w:rsidR="009C3436">
        <w:fldChar w:fldCharType="separate"/>
      </w:r>
      <w:r w:rsidR="004B217A" w:rsidRPr="004B217A">
        <w:rPr>
          <w:rFonts w:cs="Times New Roman"/>
        </w:rPr>
        <w:t>[9]</w:t>
      </w:r>
      <w:r w:rsidR="009C3436">
        <w:fldChar w:fldCharType="end"/>
      </w:r>
      <w:r w:rsidR="009C3436">
        <w:t xml:space="preserve"> summarized </w:t>
      </w:r>
      <w:r>
        <w:t xml:space="preserve">hydrogen </w:t>
      </w:r>
      <w:r w:rsidR="009C3436">
        <w:t>requirements for desulfurization</w:t>
      </w:r>
      <w:r w:rsidR="000E6774">
        <w:t xml:space="preserve"> of </w:t>
      </w:r>
      <w:r w:rsidR="000E6774" w:rsidRPr="000E6774">
        <w:t>atmospheric tower bottoms</w:t>
      </w:r>
      <w:r>
        <w:t xml:space="preserve">, which </w:t>
      </w:r>
      <w:r w:rsidR="009C3436">
        <w:t>shows desulfurizing 3.8%</w:t>
      </w:r>
      <w:r>
        <w:t xml:space="preserve"> sulfur</w:t>
      </w:r>
      <w:r w:rsidR="009C3436">
        <w:t xml:space="preserve"> feed to 1.0%, 0.3%</w:t>
      </w:r>
      <w:r>
        <w:t>, and 0.1%</w:t>
      </w:r>
      <w:r w:rsidR="009C3436">
        <w:t xml:space="preserve"> require 497, 650, 725 scf/bbl, respectively</w:t>
      </w:r>
      <w:r>
        <w:t xml:space="preserve">. These </w:t>
      </w:r>
      <w:r w:rsidR="009C3436">
        <w:t>can be converted into 0.245, 0.320, and 0.357 MJ H</w:t>
      </w:r>
      <w:r w:rsidR="009C3436" w:rsidRPr="000005A2">
        <w:rPr>
          <w:vertAlign w:val="subscript"/>
        </w:rPr>
        <w:t>2</w:t>
      </w:r>
      <w:r w:rsidR="009C3436">
        <w:t xml:space="preserve"> f</w:t>
      </w:r>
      <w:r w:rsidR="000005A2">
        <w:t>or MJ of fuel</w:t>
      </w:r>
      <w:r>
        <w:t xml:space="preserve"> production</w:t>
      </w:r>
      <w:r w:rsidR="009C3436">
        <w:t>. With these</w:t>
      </w:r>
      <w:r w:rsidR="005D6FC3">
        <w:t xml:space="preserve"> and the baseline 3.8%</w:t>
      </w:r>
      <w:r>
        <w:t xml:space="preserve"> sulfur</w:t>
      </w:r>
      <w:r w:rsidR="005D6FC3">
        <w:t xml:space="preserve"> fuel</w:t>
      </w:r>
      <w:r w:rsidR="009C3436">
        <w:t>, we generated a regression equation (2</w:t>
      </w:r>
      <w:r w:rsidR="009C3436" w:rsidRPr="009C3436">
        <w:rPr>
          <w:vertAlign w:val="superscript"/>
        </w:rPr>
        <w:t>nd</w:t>
      </w:r>
      <w:r w:rsidR="009C3436">
        <w:t xml:space="preserve"> order polynomial) among sulfur input, sulfur output, and hydrogen requirement</w:t>
      </w:r>
      <w:r>
        <w:t xml:space="preserve"> (</w:t>
      </w:r>
      <w:r>
        <w:fldChar w:fldCharType="begin"/>
      </w:r>
      <w:r>
        <w:instrText xml:space="preserve"> REF _Ref18393191 \h </w:instrText>
      </w:r>
      <w:r>
        <w:fldChar w:fldCharType="separate"/>
      </w:r>
      <w:r w:rsidR="00AA250B">
        <w:t xml:space="preserve">Figure </w:t>
      </w:r>
      <w:r w:rsidR="00AA250B">
        <w:rPr>
          <w:noProof/>
        </w:rPr>
        <w:t>1</w:t>
      </w:r>
      <w:r>
        <w:fldChar w:fldCharType="end"/>
      </w:r>
      <w:r>
        <w:t>)</w:t>
      </w:r>
      <w:r w:rsidR="009C3436">
        <w:t xml:space="preserve">. </w:t>
      </w:r>
      <w:r w:rsidR="000005A2">
        <w:t>Estimated additional hydrogen requirements for HFO from 2.7%</w:t>
      </w:r>
      <w:r>
        <w:t xml:space="preserve"> sulfur</w:t>
      </w:r>
      <w:r w:rsidR="000005A2">
        <w:t xml:space="preserve"> to 0.5%</w:t>
      </w:r>
      <w:r>
        <w:t xml:space="preserve"> sulfur</w:t>
      </w:r>
      <w:r w:rsidR="000005A2">
        <w:t xml:space="preserve"> and 0.1%</w:t>
      </w:r>
      <w:r>
        <w:t xml:space="preserve"> sulfur</w:t>
      </w:r>
      <w:r w:rsidR="000005A2">
        <w:t xml:space="preserve"> become 15,664 and 19,448 J H</w:t>
      </w:r>
      <w:r w:rsidR="000005A2" w:rsidRPr="00360AA8">
        <w:rPr>
          <w:vertAlign w:val="subscript"/>
        </w:rPr>
        <w:t>2</w:t>
      </w:r>
      <w:r w:rsidR="000005A2">
        <w:t>/MJ of fuel, respectively. Similarly, for MGO from 1.0%</w:t>
      </w:r>
      <w:r>
        <w:t xml:space="preserve"> sulfur</w:t>
      </w:r>
      <w:r w:rsidR="000005A2">
        <w:t xml:space="preserve"> to 0.5%</w:t>
      </w:r>
      <w:r>
        <w:t xml:space="preserve"> sulfur</w:t>
      </w:r>
      <w:r w:rsidR="000005A2">
        <w:t xml:space="preserve"> and 0.1%</w:t>
      </w:r>
      <w:r>
        <w:t xml:space="preserve"> sulfur</w:t>
      </w:r>
      <w:r w:rsidR="000005A2">
        <w:t>, hydrogen requirements are estimated at 4,325 and 8,109 J H</w:t>
      </w:r>
      <w:r w:rsidR="000005A2" w:rsidRPr="00360AA8">
        <w:rPr>
          <w:vertAlign w:val="subscript"/>
        </w:rPr>
        <w:t>2</w:t>
      </w:r>
      <w:r w:rsidR="006012D7">
        <w:t xml:space="preserve">/MJ of fuel, respectively. These hydrogen inputs were added along with other inputs for fuel production to estimate all upstream energy use and emissions. For MDO, we assumed it is a mixture of 50 vol.% HFO and 50 vol.% MGO; all related parameters were averaged between HFO and MGO on an energy input basis. </w:t>
      </w:r>
    </w:p>
    <w:p w14:paraId="1E2D9A9E" w14:textId="5C4533F9" w:rsidR="009C3436" w:rsidRDefault="005D6FC3" w:rsidP="000F1A32">
      <w:pPr>
        <w:spacing w:after="0" w:line="240" w:lineRule="auto"/>
        <w:jc w:val="center"/>
      </w:pPr>
      <w:r>
        <w:rPr>
          <w:noProof/>
          <w:lang w:eastAsia="en-US"/>
        </w:rPr>
        <w:drawing>
          <wp:inline distT="0" distB="0" distL="0" distR="0" wp14:anchorId="51AD4AC8" wp14:editId="30F05E69">
            <wp:extent cx="3292300" cy="2647833"/>
            <wp:effectExtent l="0" t="0" r="381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8751" cy="2653021"/>
                    </a:xfrm>
                    <a:prstGeom prst="rect">
                      <a:avLst/>
                    </a:prstGeom>
                    <a:noFill/>
                  </pic:spPr>
                </pic:pic>
              </a:graphicData>
            </a:graphic>
          </wp:inline>
        </w:drawing>
      </w:r>
    </w:p>
    <w:p w14:paraId="65E7ADC6" w14:textId="372AC2AB" w:rsidR="005D6FC3" w:rsidRDefault="005D6FC3" w:rsidP="000F1A32">
      <w:pPr>
        <w:pStyle w:val="Caption"/>
        <w:spacing w:after="0"/>
      </w:pPr>
      <w:bookmarkStart w:id="2" w:name="_Ref18393191"/>
      <w:r>
        <w:t xml:space="preserve">Figure </w:t>
      </w:r>
      <w:r w:rsidR="006D53AC">
        <w:rPr>
          <w:noProof/>
        </w:rPr>
        <w:fldChar w:fldCharType="begin"/>
      </w:r>
      <w:r w:rsidR="006D53AC">
        <w:rPr>
          <w:noProof/>
        </w:rPr>
        <w:instrText xml:space="preserve"> SEQ Figure \* ARABIC </w:instrText>
      </w:r>
      <w:r w:rsidR="006D53AC">
        <w:rPr>
          <w:noProof/>
        </w:rPr>
        <w:fldChar w:fldCharType="separate"/>
      </w:r>
      <w:r w:rsidR="009B12FA">
        <w:rPr>
          <w:noProof/>
        </w:rPr>
        <w:t>1</w:t>
      </w:r>
      <w:r w:rsidR="006D53AC">
        <w:rPr>
          <w:noProof/>
        </w:rPr>
        <w:fldChar w:fldCharType="end"/>
      </w:r>
      <w:bookmarkEnd w:id="2"/>
      <w:r>
        <w:t xml:space="preserve">. </w:t>
      </w:r>
      <w:r w:rsidR="000005A2">
        <w:t xml:space="preserve">Hydrogen requirement for desulfurization from </w:t>
      </w:r>
      <w:r w:rsidR="000E6774" w:rsidRPr="000E6774">
        <w:t>atmospheric tower bottoms</w:t>
      </w:r>
      <w:r w:rsidR="000E6774" w:rsidRPr="000E6774" w:rsidDel="000E6774">
        <w:t xml:space="preserve"> </w:t>
      </w:r>
      <w:r w:rsidR="000005A2">
        <w:t xml:space="preserve">with </w:t>
      </w:r>
      <w:r w:rsidR="00454492">
        <w:t xml:space="preserve">a </w:t>
      </w:r>
      <w:r w:rsidR="000005A2">
        <w:t>sulfur content of 3.8%.</w:t>
      </w:r>
    </w:p>
    <w:p w14:paraId="1A8A9141" w14:textId="77777777" w:rsidR="00C51EBD" w:rsidRPr="00C51EBD" w:rsidRDefault="00C51EBD" w:rsidP="00C51EBD"/>
    <w:p w14:paraId="6385E32C" w14:textId="48B1C80D" w:rsidR="00236517" w:rsidRDefault="00C51EBD" w:rsidP="00C51EBD">
      <w:pPr>
        <w:pStyle w:val="Heading2"/>
      </w:pPr>
      <w:r>
        <w:t>Production of Fischer-Tropsch Diesel</w:t>
      </w:r>
    </w:p>
    <w:p w14:paraId="58CDBA53" w14:textId="3A1D8192" w:rsidR="00C96BE0" w:rsidRDefault="00C71B7B" w:rsidP="0068644D">
      <w:pPr>
        <w:spacing w:after="0" w:line="240" w:lineRule="auto"/>
      </w:pPr>
      <w:r>
        <w:t>NREL developed FT-marine diesel production pathways using four feedstocks (biomass, NG, biomass/NG, and biomass/coal)</w:t>
      </w:r>
      <w:r w:rsidR="006937B1" w:rsidRPr="006937B1">
        <w:t xml:space="preserve"> </w:t>
      </w:r>
      <w:r w:rsidR="006937B1">
        <w:t>through process models;</w:t>
      </w:r>
      <w:r>
        <w:t xml:space="preserve"> </w:t>
      </w:r>
      <w:r w:rsidR="006937B1">
        <w:t>life-cycle inventory (</w:t>
      </w:r>
      <w:r>
        <w:t>LCI</w:t>
      </w:r>
      <w:r w:rsidR="006937B1">
        <w:t>)</w:t>
      </w:r>
      <w:r>
        <w:t xml:space="preserve"> data is presented in </w:t>
      </w:r>
      <w:r>
        <w:fldChar w:fldCharType="begin"/>
      </w:r>
      <w:r>
        <w:instrText xml:space="preserve"> REF _Ref17889267 \h </w:instrText>
      </w:r>
      <w:r>
        <w:fldChar w:fldCharType="separate"/>
      </w:r>
      <w:r>
        <w:t xml:space="preserve">Table </w:t>
      </w:r>
      <w:r>
        <w:rPr>
          <w:noProof/>
        </w:rPr>
        <w:t>2</w:t>
      </w:r>
      <w:r>
        <w:fldChar w:fldCharType="end"/>
      </w:r>
      <w:r>
        <w:t xml:space="preserve"> </w:t>
      </w:r>
      <w:r w:rsidR="001B4F3D">
        <w:fldChar w:fldCharType="begin"/>
      </w:r>
      <w:r w:rsidR="001B4F3D">
        <w:instrText xml:space="preserve"> ADDIN ZOTERO_ITEM CSL_CITATION {"citationID":"a28hgpkvud9","properties":{"formattedCitation":"[10]","plainCitation":"[10]","noteIndex":0},"citationItems":[{"id":3228,"uris":["http://zotero.org/users/2367688/items/WKFNZBED"],"uri":["http://zotero.org/users/2367688/items/WKFNZBED"],"itemData":{"id":3228,"type":"report","title":"Economic Analysis of Renewable Fuels for Marine Propulsion","publisher":"National Renewable Energy Laboratory","URL":"https://www.nrel.gov/docs/fy19osti/74678.pdf","number":"NREL/TP-5100-74678","author":[{"literal":"Eric Tan"},{"literal":"Ling Tao"}],"issued":{"date-parts":[["2019",9]]},"accessed":{"date-parts":[["2019",9,18]]}}}],"schema":"https://github.com/citation-style-language/schema/raw/master/csl-citation.json"} </w:instrText>
      </w:r>
      <w:r w:rsidR="001B4F3D">
        <w:fldChar w:fldCharType="separate"/>
      </w:r>
      <w:r w:rsidR="001B4F3D" w:rsidRPr="001B4F3D">
        <w:rPr>
          <w:rFonts w:cs="Times New Roman"/>
          <w:szCs w:val="24"/>
        </w:rPr>
        <w:t>[10]</w:t>
      </w:r>
      <w:r w:rsidR="001B4F3D">
        <w:fldChar w:fldCharType="end"/>
      </w:r>
      <w:r>
        <w:t xml:space="preserve">. For </w:t>
      </w:r>
      <w:r>
        <w:lastRenderedPageBreak/>
        <w:t xml:space="preserve">two co-feeding pathways, biomass and fossil feedstocks are assumed to be fed 50%/50% by weight. </w:t>
      </w:r>
      <w:r w:rsidR="00403923">
        <w:t>F</w:t>
      </w:r>
      <w:r>
        <w:t>eedstock</w:t>
      </w:r>
      <w:r w:rsidR="006937B1">
        <w:t>s</w:t>
      </w:r>
      <w:r>
        <w:t xml:space="preserve"> </w:t>
      </w:r>
      <w:r w:rsidR="006937B1">
        <w:t>are</w:t>
      </w:r>
      <w:r>
        <w:t xml:space="preserve"> converted into syngas in a gasifier</w:t>
      </w:r>
      <w:r w:rsidR="00403923">
        <w:t xml:space="preserve">, which is then synthesized through FT catalytic conversion processes. </w:t>
      </w:r>
      <w:r w:rsidR="006937B1">
        <w:t xml:space="preserve">Detailed process descriptions can be found in </w:t>
      </w:r>
      <w:r w:rsidR="006937B1">
        <w:fldChar w:fldCharType="begin"/>
      </w:r>
      <w:r w:rsidR="006937B1">
        <w:instrText xml:space="preserve"> ADDIN ZOTERO_ITEM CSL_CITATION {"citationID":"a2ifom3r2n9","properties":{"formattedCitation":"[10,11]","plainCitation":"[10,11]","noteIndex":0},"citationItems":[{"id":3228,"uris":["http://zotero.org/users/2367688/items/WKFNZBED"],"uri":["http://zotero.org/users/2367688/items/WKFNZBED"],"itemData":{"id":3228,"type":"report","title":"Economic Analysis of Renewable Fuels for Marine Propulsion","publisher":"National Renewable Energy Laboratory","URL":"https://www.nrel.gov/docs/fy19osti/74678.pdf","number":"NREL/TP-5100-74678","author":[{"literal":"Eric Tan"},{"literal":"Ling Tao"}],"issued":{"date-parts":[["2019",9]]},"accessed":{"date-parts":[["2019",9,18]]}}},{"id":3229,"uris":["http://zotero.org/users/2367688/items/Z6KR9TP2"],"uri":["http://zotero.org/users/2367688/items/Z6KR9TP2"],"itemData":{"id":3229,"type":"article-journal","title":"Economic and environmental potentials for natural gas to enhance biomass-to-liquid fuels technologies","container-title":"Green Chemistry","page":"5358-5373","volume":"20","issue":"23","source":"pubs.rsc.org","abstract":"With the increased availability of low-cost natural gas (NG), co-conversion of natural gas and biomass-to-liquid (GBtL) fuels has gained interest from industry and the U.S. Department of Energy due to the potential to improve liquid fuel yields while lowering greenhouse gas (GHG) emissions. In this article, we explore the conceptual process design and cost comparison of liquid biofuels using both biomass-derived gas intermediates and natural gas, as well as studies on quantification and assessment of sustainability metrics including life cycle/GHG emissions. Additionally, we have performed sensitivity analysis to understand the impact from variations of the biomass-to-NG ratio, design assumptions, and NG prices on process economics. This is to understand key cost drivers, parameters influencing the environment, and to discover opportunities to optimize the use of NG along with biomass. Our analysis shows that different blending ratios of natural gas/biomass have a large effect on the economic and environmental performance of the GBtL fuels. Co-processing NG enables the economic feasibility of converting biomass to the liquid fuel but at the expense of environmental sustainability. This study determined that the maximum amount of NG that can be blended with biomass would be 28% to meet the Renewable Fuel Standard (RFS) GHG emission targets for advanced fuels, with a resulting minimum fuel selling price (MFSP) of $2.75 per gallon gasoline equivalent (GGE). In addition, the paper demonstrates the impact of the co-conversion operation on equipment design, raw materials, utility consumption, and overall process economic performance for the GBtL system. A secondary outcome: This study shows that renewable liquid fuel could be cost competitive with fossil-derived liquid fuel if further improvements and optimizations could be made to blending ratios of NG, optimization of heat integration of the process, and reduction of excess hydrogen and excess electricity production.","DOI":"10.1039/C8GC01257A","ISSN":"1463-9270","journalAbbreviation":"Green Chem.","language":"en","author":[{"family":"Zhang","given":"Yanan"},{"family":"Sahir","given":"Asad H."},{"family":"Tan","given":"Eric C. D."},{"family":"Talmadge","given":"Michael S."},{"family":"Davis","given":"Ryan"},{"family":"Biddy","given":"Mary J."},{"family":"Tao","given":"Ling"}],"issued":{"date-parts":[["2018",11,26]]}}}],"schema":"https://github.com/citation-style-language/schema/raw/master/csl-citation.json"} </w:instrText>
      </w:r>
      <w:r w:rsidR="006937B1">
        <w:fldChar w:fldCharType="separate"/>
      </w:r>
      <w:r w:rsidR="006937B1" w:rsidRPr="00403923">
        <w:rPr>
          <w:rFonts w:cs="Times New Roman"/>
          <w:szCs w:val="24"/>
        </w:rPr>
        <w:t>[10,11]</w:t>
      </w:r>
      <w:r w:rsidR="006937B1">
        <w:fldChar w:fldCharType="end"/>
      </w:r>
      <w:r w:rsidR="006937B1">
        <w:t xml:space="preserve">. Through condensation and separation, various types of hydrocarbon fuels can be generated including marine/diesel fuels. In particular, </w:t>
      </w:r>
      <w:r w:rsidR="00403923">
        <w:t>FT hydrocarbon fuels have no sulfur content</w:t>
      </w:r>
      <w:r w:rsidR="006937B1" w:rsidRPr="006937B1">
        <w:t xml:space="preserve"> </w:t>
      </w:r>
      <w:r w:rsidR="006937B1">
        <w:t>since fuel products are generated from syngas</w:t>
      </w:r>
      <w:r w:rsidR="00403923">
        <w:t xml:space="preserve">. </w:t>
      </w:r>
    </w:p>
    <w:p w14:paraId="19008AEB" w14:textId="77777777" w:rsidR="0068644D" w:rsidRPr="006012D7" w:rsidRDefault="0068644D" w:rsidP="0068644D">
      <w:pPr>
        <w:spacing w:after="0" w:line="240" w:lineRule="auto"/>
      </w:pPr>
    </w:p>
    <w:p w14:paraId="4CBC6417" w14:textId="2C81DC0D" w:rsidR="00A41214" w:rsidRDefault="00A41214" w:rsidP="000F1A32">
      <w:pPr>
        <w:pStyle w:val="Caption"/>
        <w:spacing w:after="0"/>
      </w:pPr>
      <w:bookmarkStart w:id="3" w:name="_Ref17889267"/>
      <w:r>
        <w:t xml:space="preserve">Table </w:t>
      </w:r>
      <w:r w:rsidR="006D53AC">
        <w:rPr>
          <w:noProof/>
        </w:rPr>
        <w:fldChar w:fldCharType="begin"/>
      </w:r>
      <w:r w:rsidR="006D53AC">
        <w:rPr>
          <w:noProof/>
        </w:rPr>
        <w:instrText xml:space="preserve"> SEQ Table \* ARABIC </w:instrText>
      </w:r>
      <w:r w:rsidR="006D53AC">
        <w:rPr>
          <w:noProof/>
        </w:rPr>
        <w:fldChar w:fldCharType="separate"/>
      </w:r>
      <w:r w:rsidR="00AA250B">
        <w:rPr>
          <w:noProof/>
        </w:rPr>
        <w:t>2</w:t>
      </w:r>
      <w:r w:rsidR="006D53AC">
        <w:rPr>
          <w:noProof/>
        </w:rPr>
        <w:fldChar w:fldCharType="end"/>
      </w:r>
      <w:bookmarkEnd w:id="3"/>
      <w:r>
        <w:t xml:space="preserve">. </w:t>
      </w:r>
      <w:r w:rsidR="00693FBE">
        <w:t xml:space="preserve">Inputs and outputs of Fischer-Tropsch diesel production </w:t>
      </w:r>
    </w:p>
    <w:tbl>
      <w:tblPr>
        <w:tblW w:w="5000" w:type="pct"/>
        <w:tblLayout w:type="fixed"/>
        <w:tblLook w:val="04A0" w:firstRow="1" w:lastRow="0" w:firstColumn="1" w:lastColumn="0" w:noHBand="0" w:noVBand="1"/>
      </w:tblPr>
      <w:tblGrid>
        <w:gridCol w:w="4004"/>
        <w:gridCol w:w="790"/>
        <w:gridCol w:w="1142"/>
        <w:gridCol w:w="1142"/>
        <w:gridCol w:w="1142"/>
        <w:gridCol w:w="1140"/>
      </w:tblGrid>
      <w:tr w:rsidR="00B45328" w:rsidRPr="00B45328" w14:paraId="63591364" w14:textId="77777777" w:rsidTr="00416025">
        <w:trPr>
          <w:trHeight w:val="20"/>
        </w:trPr>
        <w:tc>
          <w:tcPr>
            <w:tcW w:w="2139" w:type="pct"/>
            <w:vMerge w:val="restart"/>
            <w:tcBorders>
              <w:top w:val="single" w:sz="4" w:space="0" w:color="auto"/>
              <w:right w:val="nil"/>
            </w:tcBorders>
            <w:shd w:val="clear" w:color="000000" w:fill="FFFFFF"/>
            <w:noWrap/>
            <w:vAlign w:val="bottom"/>
          </w:tcPr>
          <w:p w14:paraId="7FFDFC4A" w14:textId="21F486B9" w:rsidR="00B45328" w:rsidRPr="00B45328" w:rsidRDefault="00B45328" w:rsidP="000F1A32">
            <w:pPr>
              <w:spacing w:after="0" w:line="240" w:lineRule="auto"/>
              <w:jc w:val="left"/>
              <w:rPr>
                <w:rFonts w:eastAsia="Times New Roman" w:cs="Times New Roman"/>
                <w:b/>
                <w:bCs/>
                <w:color w:val="000000"/>
                <w:sz w:val="18"/>
              </w:rPr>
            </w:pPr>
          </w:p>
        </w:tc>
        <w:tc>
          <w:tcPr>
            <w:tcW w:w="422" w:type="pct"/>
            <w:vMerge w:val="restart"/>
            <w:tcBorders>
              <w:top w:val="single" w:sz="4" w:space="0" w:color="auto"/>
              <w:left w:val="single" w:sz="4" w:space="0" w:color="auto"/>
              <w:right w:val="single" w:sz="4" w:space="0" w:color="auto"/>
            </w:tcBorders>
            <w:shd w:val="clear" w:color="000000" w:fill="FFFFFF"/>
            <w:noWrap/>
            <w:vAlign w:val="bottom"/>
          </w:tcPr>
          <w:p w14:paraId="4DC48D21" w14:textId="48D2F9A0" w:rsidR="00B45328" w:rsidRPr="00B45328" w:rsidRDefault="00B45328" w:rsidP="000F1A32">
            <w:pPr>
              <w:spacing w:after="0" w:line="240" w:lineRule="auto"/>
              <w:jc w:val="center"/>
              <w:rPr>
                <w:rFonts w:eastAsia="Times New Roman" w:cs="Times New Roman"/>
                <w:color w:val="000000"/>
                <w:sz w:val="18"/>
              </w:rPr>
            </w:pPr>
            <w:r>
              <w:rPr>
                <w:rFonts w:eastAsia="Times New Roman" w:cs="Times New Roman"/>
                <w:color w:val="000000"/>
                <w:sz w:val="18"/>
              </w:rPr>
              <w:t>Units</w:t>
            </w:r>
          </w:p>
        </w:tc>
        <w:tc>
          <w:tcPr>
            <w:tcW w:w="2439" w:type="pct"/>
            <w:gridSpan w:val="4"/>
            <w:tcBorders>
              <w:top w:val="single" w:sz="4" w:space="0" w:color="auto"/>
              <w:left w:val="nil"/>
              <w:bottom w:val="single" w:sz="4" w:space="0" w:color="auto"/>
            </w:tcBorders>
            <w:shd w:val="clear" w:color="000000" w:fill="FFFFFF"/>
            <w:noWrap/>
            <w:vAlign w:val="bottom"/>
          </w:tcPr>
          <w:p w14:paraId="29BD6F06" w14:textId="2A06D561" w:rsidR="00B45328" w:rsidRPr="00B45328" w:rsidRDefault="00B45328" w:rsidP="000F1A32">
            <w:pPr>
              <w:spacing w:after="0" w:line="240" w:lineRule="auto"/>
              <w:jc w:val="center"/>
              <w:rPr>
                <w:rFonts w:eastAsia="Times New Roman" w:cs="Times New Roman"/>
                <w:b/>
                <w:color w:val="000000"/>
                <w:sz w:val="18"/>
              </w:rPr>
            </w:pPr>
            <w:r>
              <w:rPr>
                <w:rFonts w:eastAsia="Times New Roman" w:cs="Times New Roman"/>
                <w:b/>
                <w:color w:val="000000"/>
                <w:sz w:val="18"/>
              </w:rPr>
              <w:t>Feedstock</w:t>
            </w:r>
          </w:p>
        </w:tc>
      </w:tr>
      <w:tr w:rsidR="00B45328" w:rsidRPr="00B45328" w14:paraId="49E7A9A9" w14:textId="77777777" w:rsidTr="00416025">
        <w:trPr>
          <w:trHeight w:val="20"/>
        </w:trPr>
        <w:tc>
          <w:tcPr>
            <w:tcW w:w="2139" w:type="pct"/>
            <w:vMerge/>
            <w:tcBorders>
              <w:bottom w:val="single" w:sz="4" w:space="0" w:color="auto"/>
              <w:right w:val="nil"/>
            </w:tcBorders>
            <w:shd w:val="clear" w:color="000000" w:fill="FFFFFF"/>
            <w:noWrap/>
            <w:vAlign w:val="bottom"/>
            <w:hideMark/>
          </w:tcPr>
          <w:p w14:paraId="472CBB28" w14:textId="786BF521" w:rsidR="00B45328" w:rsidRPr="00B45328" w:rsidRDefault="00B45328" w:rsidP="000F1A32">
            <w:pPr>
              <w:spacing w:after="0" w:line="240" w:lineRule="auto"/>
              <w:jc w:val="left"/>
              <w:rPr>
                <w:rFonts w:eastAsia="Times New Roman" w:cs="Times New Roman"/>
                <w:b/>
                <w:bCs/>
                <w:color w:val="000000"/>
                <w:sz w:val="18"/>
              </w:rPr>
            </w:pPr>
          </w:p>
        </w:tc>
        <w:tc>
          <w:tcPr>
            <w:tcW w:w="422" w:type="pct"/>
            <w:vMerge/>
            <w:tcBorders>
              <w:left w:val="single" w:sz="4" w:space="0" w:color="auto"/>
              <w:bottom w:val="single" w:sz="4" w:space="0" w:color="auto"/>
              <w:right w:val="single" w:sz="4" w:space="0" w:color="auto"/>
            </w:tcBorders>
            <w:shd w:val="clear" w:color="000000" w:fill="FFFFFF"/>
            <w:noWrap/>
            <w:vAlign w:val="bottom"/>
            <w:hideMark/>
          </w:tcPr>
          <w:p w14:paraId="1A14B5FD" w14:textId="46B0C440" w:rsidR="00B45328" w:rsidRPr="00B45328" w:rsidRDefault="00B45328" w:rsidP="000F1A32">
            <w:pPr>
              <w:spacing w:after="0" w:line="240" w:lineRule="auto"/>
              <w:jc w:val="center"/>
              <w:rPr>
                <w:rFonts w:eastAsia="Times New Roman" w:cs="Times New Roman"/>
                <w:color w:val="000000"/>
                <w:sz w:val="18"/>
              </w:rPr>
            </w:pPr>
          </w:p>
        </w:tc>
        <w:tc>
          <w:tcPr>
            <w:tcW w:w="610" w:type="pct"/>
            <w:tcBorders>
              <w:top w:val="single" w:sz="4" w:space="0" w:color="auto"/>
              <w:left w:val="nil"/>
              <w:bottom w:val="single" w:sz="4" w:space="0" w:color="auto"/>
              <w:right w:val="nil"/>
            </w:tcBorders>
            <w:shd w:val="clear" w:color="000000" w:fill="FFFFFF"/>
            <w:noWrap/>
            <w:vAlign w:val="bottom"/>
            <w:hideMark/>
          </w:tcPr>
          <w:p w14:paraId="27967730" w14:textId="77777777" w:rsidR="00B45328" w:rsidRPr="00B45328" w:rsidRDefault="00B45328" w:rsidP="000F1A32">
            <w:pPr>
              <w:spacing w:after="0" w:line="240" w:lineRule="auto"/>
              <w:jc w:val="right"/>
              <w:rPr>
                <w:rFonts w:eastAsia="Times New Roman" w:cs="Times New Roman"/>
                <w:b/>
                <w:color w:val="000000"/>
                <w:sz w:val="18"/>
              </w:rPr>
            </w:pPr>
            <w:r w:rsidRPr="00B45328">
              <w:rPr>
                <w:rFonts w:eastAsia="Times New Roman" w:cs="Times New Roman"/>
                <w:b/>
                <w:color w:val="000000"/>
                <w:sz w:val="18"/>
              </w:rPr>
              <w:t>Biomass</w:t>
            </w:r>
          </w:p>
        </w:tc>
        <w:tc>
          <w:tcPr>
            <w:tcW w:w="610" w:type="pct"/>
            <w:tcBorders>
              <w:top w:val="single" w:sz="4" w:space="0" w:color="auto"/>
              <w:left w:val="nil"/>
              <w:bottom w:val="single" w:sz="4" w:space="0" w:color="auto"/>
              <w:right w:val="nil"/>
            </w:tcBorders>
            <w:shd w:val="clear" w:color="000000" w:fill="FFFFFF"/>
            <w:noWrap/>
            <w:vAlign w:val="bottom"/>
            <w:hideMark/>
          </w:tcPr>
          <w:p w14:paraId="526742D4" w14:textId="77777777" w:rsidR="00B45328" w:rsidRPr="00B45328" w:rsidRDefault="00B45328" w:rsidP="000F1A32">
            <w:pPr>
              <w:spacing w:after="0" w:line="240" w:lineRule="auto"/>
              <w:jc w:val="right"/>
              <w:rPr>
                <w:rFonts w:eastAsia="Times New Roman" w:cs="Times New Roman"/>
                <w:b/>
                <w:color w:val="000000"/>
                <w:sz w:val="18"/>
              </w:rPr>
            </w:pPr>
            <w:r w:rsidRPr="00B45328">
              <w:rPr>
                <w:rFonts w:eastAsia="Times New Roman" w:cs="Times New Roman"/>
                <w:b/>
                <w:color w:val="000000"/>
                <w:sz w:val="18"/>
              </w:rPr>
              <w:t>NG</w:t>
            </w:r>
          </w:p>
        </w:tc>
        <w:tc>
          <w:tcPr>
            <w:tcW w:w="610" w:type="pct"/>
            <w:tcBorders>
              <w:top w:val="single" w:sz="4" w:space="0" w:color="auto"/>
              <w:left w:val="nil"/>
              <w:bottom w:val="single" w:sz="4" w:space="0" w:color="auto"/>
              <w:right w:val="nil"/>
            </w:tcBorders>
            <w:shd w:val="clear" w:color="000000" w:fill="FFFFFF"/>
            <w:noWrap/>
            <w:vAlign w:val="bottom"/>
            <w:hideMark/>
          </w:tcPr>
          <w:p w14:paraId="73797B11" w14:textId="77777777" w:rsidR="00B45328" w:rsidRPr="00B45328" w:rsidRDefault="00B45328" w:rsidP="000F1A32">
            <w:pPr>
              <w:spacing w:after="0" w:line="240" w:lineRule="auto"/>
              <w:jc w:val="right"/>
              <w:rPr>
                <w:rFonts w:eastAsia="Times New Roman" w:cs="Times New Roman"/>
                <w:b/>
                <w:color w:val="000000"/>
                <w:sz w:val="18"/>
              </w:rPr>
            </w:pPr>
            <w:r w:rsidRPr="00B45328">
              <w:rPr>
                <w:rFonts w:eastAsia="Times New Roman" w:cs="Times New Roman"/>
                <w:b/>
                <w:color w:val="000000"/>
                <w:sz w:val="18"/>
              </w:rPr>
              <w:t>Biomass</w:t>
            </w:r>
          </w:p>
          <w:p w14:paraId="5E7BA96A" w14:textId="1F4349F8" w:rsidR="00B45328" w:rsidRPr="00B45328" w:rsidRDefault="00B45328" w:rsidP="000F1A32">
            <w:pPr>
              <w:spacing w:after="0" w:line="240" w:lineRule="auto"/>
              <w:jc w:val="right"/>
              <w:rPr>
                <w:rFonts w:eastAsia="Times New Roman" w:cs="Times New Roman"/>
                <w:b/>
                <w:color w:val="000000"/>
                <w:sz w:val="18"/>
              </w:rPr>
            </w:pPr>
            <w:r w:rsidRPr="00B45328">
              <w:rPr>
                <w:rFonts w:eastAsia="Times New Roman" w:cs="Times New Roman"/>
                <w:b/>
                <w:color w:val="000000"/>
                <w:sz w:val="18"/>
              </w:rPr>
              <w:t>+NG</w:t>
            </w:r>
          </w:p>
        </w:tc>
        <w:tc>
          <w:tcPr>
            <w:tcW w:w="609" w:type="pct"/>
            <w:tcBorders>
              <w:top w:val="single" w:sz="4" w:space="0" w:color="auto"/>
              <w:left w:val="nil"/>
              <w:bottom w:val="single" w:sz="4" w:space="0" w:color="auto"/>
            </w:tcBorders>
            <w:shd w:val="clear" w:color="000000" w:fill="FFFFFF"/>
            <w:noWrap/>
            <w:vAlign w:val="bottom"/>
            <w:hideMark/>
          </w:tcPr>
          <w:p w14:paraId="54D5312D" w14:textId="77777777" w:rsidR="00B45328" w:rsidRPr="00B45328" w:rsidRDefault="00B45328" w:rsidP="000F1A32">
            <w:pPr>
              <w:spacing w:after="0" w:line="240" w:lineRule="auto"/>
              <w:jc w:val="right"/>
              <w:rPr>
                <w:rFonts w:eastAsia="Times New Roman" w:cs="Times New Roman"/>
                <w:b/>
                <w:color w:val="000000"/>
                <w:sz w:val="18"/>
              </w:rPr>
            </w:pPr>
            <w:r w:rsidRPr="00B45328">
              <w:rPr>
                <w:rFonts w:eastAsia="Times New Roman" w:cs="Times New Roman"/>
                <w:b/>
                <w:color w:val="000000"/>
                <w:sz w:val="18"/>
              </w:rPr>
              <w:t>Biomass</w:t>
            </w:r>
          </w:p>
          <w:p w14:paraId="491F1EA6" w14:textId="798094B1" w:rsidR="00B45328" w:rsidRPr="00B45328" w:rsidRDefault="00B45328" w:rsidP="000F1A32">
            <w:pPr>
              <w:spacing w:after="0" w:line="240" w:lineRule="auto"/>
              <w:jc w:val="right"/>
              <w:rPr>
                <w:rFonts w:eastAsia="Times New Roman" w:cs="Times New Roman"/>
                <w:b/>
                <w:color w:val="000000"/>
                <w:sz w:val="18"/>
              </w:rPr>
            </w:pPr>
            <w:r w:rsidRPr="00B45328">
              <w:rPr>
                <w:rFonts w:eastAsia="Times New Roman" w:cs="Times New Roman"/>
                <w:b/>
                <w:color w:val="000000"/>
                <w:sz w:val="18"/>
              </w:rPr>
              <w:t>+Coal</w:t>
            </w:r>
          </w:p>
        </w:tc>
      </w:tr>
      <w:tr w:rsidR="00463AFF" w:rsidRPr="00B45328" w14:paraId="7505B46E" w14:textId="77777777" w:rsidTr="00B45328">
        <w:trPr>
          <w:trHeight w:val="20"/>
        </w:trPr>
        <w:tc>
          <w:tcPr>
            <w:tcW w:w="2139" w:type="pct"/>
            <w:tcBorders>
              <w:top w:val="nil"/>
              <w:bottom w:val="nil"/>
              <w:right w:val="nil"/>
            </w:tcBorders>
            <w:shd w:val="clear" w:color="000000" w:fill="FFFFFF"/>
            <w:noWrap/>
            <w:vAlign w:val="bottom"/>
          </w:tcPr>
          <w:p w14:paraId="3CBAD5B2" w14:textId="34E596EF" w:rsidR="00463AFF" w:rsidRPr="00B45328" w:rsidRDefault="00463AFF" w:rsidP="000F1A32">
            <w:pPr>
              <w:spacing w:after="0" w:line="240" w:lineRule="auto"/>
              <w:jc w:val="left"/>
              <w:rPr>
                <w:rFonts w:eastAsia="Times New Roman" w:cs="Times New Roman"/>
                <w:color w:val="000000"/>
                <w:sz w:val="18"/>
              </w:rPr>
            </w:pPr>
            <w:r w:rsidRPr="00B45328">
              <w:rPr>
                <w:rFonts w:eastAsia="Times New Roman" w:cs="Times New Roman"/>
                <w:b/>
                <w:bCs/>
                <w:color w:val="000000"/>
                <w:sz w:val="18"/>
              </w:rPr>
              <w:t xml:space="preserve">Energy inputs </w:t>
            </w:r>
          </w:p>
        </w:tc>
        <w:tc>
          <w:tcPr>
            <w:tcW w:w="422" w:type="pct"/>
            <w:tcBorders>
              <w:top w:val="nil"/>
              <w:left w:val="single" w:sz="4" w:space="0" w:color="auto"/>
              <w:bottom w:val="nil"/>
              <w:right w:val="single" w:sz="4" w:space="0" w:color="auto"/>
            </w:tcBorders>
            <w:shd w:val="clear" w:color="000000" w:fill="FFFFFF"/>
            <w:noWrap/>
            <w:vAlign w:val="bottom"/>
          </w:tcPr>
          <w:p w14:paraId="66A4F450" w14:textId="77777777" w:rsidR="00463AFF" w:rsidRDefault="00463AFF" w:rsidP="000F1A32">
            <w:pPr>
              <w:spacing w:after="0" w:line="240" w:lineRule="auto"/>
              <w:jc w:val="center"/>
              <w:rPr>
                <w:rFonts w:eastAsia="Times New Roman" w:cs="Times New Roman"/>
                <w:color w:val="000000"/>
                <w:sz w:val="18"/>
              </w:rPr>
            </w:pPr>
          </w:p>
        </w:tc>
        <w:tc>
          <w:tcPr>
            <w:tcW w:w="610" w:type="pct"/>
            <w:tcBorders>
              <w:top w:val="nil"/>
              <w:left w:val="nil"/>
              <w:bottom w:val="nil"/>
              <w:right w:val="nil"/>
            </w:tcBorders>
            <w:shd w:val="clear" w:color="000000" w:fill="FFFFFF"/>
            <w:noWrap/>
            <w:vAlign w:val="bottom"/>
          </w:tcPr>
          <w:p w14:paraId="613D9B6B" w14:textId="77777777" w:rsidR="00463AFF" w:rsidRPr="00B45328" w:rsidRDefault="00463AFF" w:rsidP="000F1A32">
            <w:pPr>
              <w:spacing w:after="0" w:line="240" w:lineRule="auto"/>
              <w:jc w:val="right"/>
              <w:rPr>
                <w:rFonts w:eastAsia="Times New Roman" w:cs="Times New Roman"/>
                <w:color w:val="000000"/>
                <w:sz w:val="18"/>
              </w:rPr>
            </w:pPr>
          </w:p>
        </w:tc>
        <w:tc>
          <w:tcPr>
            <w:tcW w:w="610" w:type="pct"/>
            <w:tcBorders>
              <w:top w:val="nil"/>
              <w:left w:val="nil"/>
              <w:bottom w:val="nil"/>
              <w:right w:val="nil"/>
            </w:tcBorders>
            <w:shd w:val="clear" w:color="000000" w:fill="FFFFFF"/>
            <w:noWrap/>
            <w:vAlign w:val="bottom"/>
          </w:tcPr>
          <w:p w14:paraId="13804977" w14:textId="77777777" w:rsidR="00463AFF" w:rsidRPr="00B45328" w:rsidRDefault="00463AFF" w:rsidP="000F1A32">
            <w:pPr>
              <w:spacing w:after="0" w:line="240" w:lineRule="auto"/>
              <w:jc w:val="right"/>
              <w:rPr>
                <w:rFonts w:eastAsia="Times New Roman" w:cs="Times New Roman"/>
                <w:color w:val="000000"/>
                <w:sz w:val="18"/>
              </w:rPr>
            </w:pPr>
          </w:p>
        </w:tc>
        <w:tc>
          <w:tcPr>
            <w:tcW w:w="610" w:type="pct"/>
            <w:tcBorders>
              <w:top w:val="nil"/>
              <w:left w:val="nil"/>
              <w:bottom w:val="nil"/>
              <w:right w:val="nil"/>
            </w:tcBorders>
            <w:shd w:val="clear" w:color="000000" w:fill="FFFFFF"/>
            <w:noWrap/>
            <w:vAlign w:val="bottom"/>
          </w:tcPr>
          <w:p w14:paraId="3B8F1BCB" w14:textId="77777777" w:rsidR="00463AFF" w:rsidRPr="00B45328" w:rsidRDefault="00463AFF" w:rsidP="000F1A32">
            <w:pPr>
              <w:spacing w:after="0" w:line="240" w:lineRule="auto"/>
              <w:jc w:val="right"/>
              <w:rPr>
                <w:rFonts w:eastAsia="Times New Roman" w:cs="Times New Roman"/>
                <w:color w:val="000000"/>
                <w:sz w:val="18"/>
              </w:rPr>
            </w:pPr>
          </w:p>
        </w:tc>
        <w:tc>
          <w:tcPr>
            <w:tcW w:w="609" w:type="pct"/>
            <w:tcBorders>
              <w:top w:val="nil"/>
              <w:left w:val="nil"/>
              <w:bottom w:val="nil"/>
            </w:tcBorders>
            <w:shd w:val="clear" w:color="000000" w:fill="FFFFFF"/>
            <w:noWrap/>
            <w:vAlign w:val="bottom"/>
          </w:tcPr>
          <w:p w14:paraId="7C2A121C" w14:textId="77777777" w:rsidR="00463AFF" w:rsidRPr="00B45328" w:rsidRDefault="00463AFF" w:rsidP="000F1A32">
            <w:pPr>
              <w:spacing w:after="0" w:line="240" w:lineRule="auto"/>
              <w:jc w:val="right"/>
              <w:rPr>
                <w:rFonts w:eastAsia="Times New Roman" w:cs="Times New Roman"/>
                <w:color w:val="000000"/>
                <w:sz w:val="18"/>
              </w:rPr>
            </w:pPr>
          </w:p>
        </w:tc>
      </w:tr>
      <w:tr w:rsidR="00BB5428" w:rsidRPr="00B45328" w14:paraId="20A2902E" w14:textId="77777777" w:rsidTr="00BB5428">
        <w:trPr>
          <w:trHeight w:val="20"/>
        </w:trPr>
        <w:tc>
          <w:tcPr>
            <w:tcW w:w="2139" w:type="pct"/>
            <w:vMerge w:val="restart"/>
            <w:tcBorders>
              <w:top w:val="nil"/>
              <w:right w:val="nil"/>
            </w:tcBorders>
            <w:shd w:val="clear" w:color="000000" w:fill="FFFFFF"/>
            <w:noWrap/>
            <w:vAlign w:val="center"/>
            <w:hideMark/>
          </w:tcPr>
          <w:p w14:paraId="57648CB0" w14:textId="6BF5D8A9" w:rsidR="00BB5428" w:rsidRPr="00B45328" w:rsidRDefault="00BB5428" w:rsidP="000F1A32">
            <w:pPr>
              <w:spacing w:after="0" w:line="240" w:lineRule="auto"/>
              <w:jc w:val="right"/>
              <w:rPr>
                <w:rFonts w:eastAsia="Times New Roman" w:cs="Times New Roman"/>
                <w:color w:val="000000"/>
                <w:sz w:val="18"/>
              </w:rPr>
            </w:pPr>
            <w:r>
              <w:rPr>
                <w:rFonts w:eastAsia="Times New Roman" w:cs="Times New Roman"/>
                <w:color w:val="000000"/>
                <w:sz w:val="18"/>
              </w:rPr>
              <w:t>Woody residue</w:t>
            </w:r>
          </w:p>
        </w:tc>
        <w:tc>
          <w:tcPr>
            <w:tcW w:w="422" w:type="pct"/>
            <w:tcBorders>
              <w:top w:val="nil"/>
              <w:left w:val="single" w:sz="4" w:space="0" w:color="auto"/>
              <w:bottom w:val="nil"/>
              <w:right w:val="single" w:sz="4" w:space="0" w:color="auto"/>
            </w:tcBorders>
            <w:shd w:val="clear" w:color="000000" w:fill="FFFFFF"/>
            <w:noWrap/>
            <w:vAlign w:val="bottom"/>
            <w:hideMark/>
          </w:tcPr>
          <w:p w14:paraId="4776230A" w14:textId="07FF6B54" w:rsidR="00BB5428" w:rsidRPr="00B45328" w:rsidRDefault="00BB5428" w:rsidP="000F1A32">
            <w:pPr>
              <w:spacing w:after="0" w:line="240" w:lineRule="auto"/>
              <w:jc w:val="center"/>
              <w:rPr>
                <w:rFonts w:eastAsia="Times New Roman" w:cs="Times New Roman"/>
                <w:color w:val="000000"/>
                <w:sz w:val="18"/>
              </w:rPr>
            </w:pPr>
            <w:r>
              <w:rPr>
                <w:rFonts w:eastAsia="Times New Roman" w:cs="Times New Roman"/>
                <w:color w:val="000000"/>
                <w:sz w:val="18"/>
              </w:rPr>
              <w:t>MJ</w:t>
            </w:r>
          </w:p>
        </w:tc>
        <w:tc>
          <w:tcPr>
            <w:tcW w:w="610" w:type="pct"/>
            <w:tcBorders>
              <w:top w:val="nil"/>
              <w:left w:val="nil"/>
              <w:bottom w:val="nil"/>
              <w:right w:val="nil"/>
            </w:tcBorders>
            <w:shd w:val="clear" w:color="000000" w:fill="FFFFFF"/>
            <w:noWrap/>
            <w:vAlign w:val="bottom"/>
            <w:hideMark/>
          </w:tcPr>
          <w:p w14:paraId="1A2B0E14" w14:textId="644BA739" w:rsidR="00BB5428" w:rsidRPr="00B45328" w:rsidRDefault="00BB54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1</w:t>
            </w:r>
            <w:r>
              <w:rPr>
                <w:rFonts w:eastAsia="Times New Roman" w:cs="Times New Roman"/>
                <w:color w:val="000000"/>
                <w:sz w:val="18"/>
              </w:rPr>
              <w:t>.</w:t>
            </w:r>
            <w:r w:rsidRPr="00B45328">
              <w:rPr>
                <w:rFonts w:eastAsia="Times New Roman" w:cs="Times New Roman"/>
                <w:color w:val="000000"/>
                <w:sz w:val="18"/>
              </w:rPr>
              <w:t>97</w:t>
            </w:r>
          </w:p>
        </w:tc>
        <w:tc>
          <w:tcPr>
            <w:tcW w:w="610" w:type="pct"/>
            <w:tcBorders>
              <w:top w:val="nil"/>
              <w:left w:val="nil"/>
              <w:bottom w:val="nil"/>
              <w:right w:val="nil"/>
            </w:tcBorders>
            <w:shd w:val="clear" w:color="000000" w:fill="FFFFFF"/>
            <w:noWrap/>
            <w:vAlign w:val="bottom"/>
            <w:hideMark/>
          </w:tcPr>
          <w:p w14:paraId="00C7C7C5" w14:textId="77777777" w:rsidR="00BB5428" w:rsidRPr="00B45328" w:rsidRDefault="00BB54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w:t>
            </w:r>
          </w:p>
        </w:tc>
        <w:tc>
          <w:tcPr>
            <w:tcW w:w="610" w:type="pct"/>
            <w:tcBorders>
              <w:top w:val="nil"/>
              <w:left w:val="nil"/>
              <w:bottom w:val="nil"/>
              <w:right w:val="nil"/>
            </w:tcBorders>
            <w:shd w:val="clear" w:color="000000" w:fill="FFFFFF"/>
            <w:noWrap/>
            <w:vAlign w:val="bottom"/>
            <w:hideMark/>
          </w:tcPr>
          <w:p w14:paraId="0B479461" w14:textId="22BF8A77" w:rsidR="00BB5428" w:rsidRPr="00B45328" w:rsidRDefault="00BB5428" w:rsidP="000F1A32">
            <w:pPr>
              <w:spacing w:after="0" w:line="240" w:lineRule="auto"/>
              <w:jc w:val="right"/>
              <w:rPr>
                <w:rFonts w:eastAsia="Times New Roman" w:cs="Times New Roman"/>
                <w:color w:val="000000"/>
                <w:sz w:val="18"/>
              </w:rPr>
            </w:pPr>
            <w:r>
              <w:rPr>
                <w:rFonts w:eastAsia="Times New Roman" w:cs="Times New Roman"/>
                <w:color w:val="000000"/>
                <w:sz w:val="18"/>
              </w:rPr>
              <w:t>0.</w:t>
            </w:r>
            <w:r w:rsidRPr="00B45328">
              <w:rPr>
                <w:rFonts w:eastAsia="Times New Roman" w:cs="Times New Roman"/>
                <w:color w:val="000000"/>
                <w:sz w:val="18"/>
              </w:rPr>
              <w:t>434</w:t>
            </w:r>
          </w:p>
        </w:tc>
        <w:tc>
          <w:tcPr>
            <w:tcW w:w="609" w:type="pct"/>
            <w:tcBorders>
              <w:top w:val="nil"/>
              <w:left w:val="nil"/>
              <w:bottom w:val="nil"/>
            </w:tcBorders>
            <w:shd w:val="clear" w:color="000000" w:fill="FFFFFF"/>
            <w:noWrap/>
            <w:vAlign w:val="bottom"/>
            <w:hideMark/>
          </w:tcPr>
          <w:p w14:paraId="54140F7A" w14:textId="49BFAAB1" w:rsidR="00BB5428" w:rsidRPr="00B45328" w:rsidRDefault="00BB5428" w:rsidP="000F1A32">
            <w:pPr>
              <w:spacing w:after="0" w:line="240" w:lineRule="auto"/>
              <w:jc w:val="right"/>
              <w:rPr>
                <w:rFonts w:eastAsia="Times New Roman" w:cs="Times New Roman"/>
                <w:color w:val="000000"/>
                <w:sz w:val="18"/>
              </w:rPr>
            </w:pPr>
            <w:r>
              <w:rPr>
                <w:rFonts w:eastAsia="Times New Roman" w:cs="Times New Roman"/>
                <w:color w:val="000000"/>
                <w:sz w:val="18"/>
              </w:rPr>
              <w:t>0.</w:t>
            </w:r>
            <w:r w:rsidRPr="00B45328">
              <w:rPr>
                <w:rFonts w:eastAsia="Times New Roman" w:cs="Times New Roman"/>
                <w:color w:val="000000"/>
                <w:sz w:val="18"/>
              </w:rPr>
              <w:t>644</w:t>
            </w:r>
          </w:p>
        </w:tc>
      </w:tr>
      <w:tr w:rsidR="00BB5428" w:rsidRPr="00B45328" w14:paraId="1A74C24C" w14:textId="77777777" w:rsidTr="0023419B">
        <w:trPr>
          <w:trHeight w:val="20"/>
        </w:trPr>
        <w:tc>
          <w:tcPr>
            <w:tcW w:w="2139" w:type="pct"/>
            <w:vMerge/>
            <w:tcBorders>
              <w:bottom w:val="nil"/>
              <w:right w:val="nil"/>
            </w:tcBorders>
            <w:shd w:val="clear" w:color="000000" w:fill="FFFFFF"/>
            <w:noWrap/>
            <w:vAlign w:val="bottom"/>
          </w:tcPr>
          <w:p w14:paraId="179177D0" w14:textId="77777777" w:rsidR="00BB5428" w:rsidRPr="00B45328" w:rsidDel="00BB5428" w:rsidRDefault="00BB5428" w:rsidP="000F1A32">
            <w:pPr>
              <w:spacing w:after="0" w:line="240" w:lineRule="auto"/>
              <w:jc w:val="right"/>
              <w:rPr>
                <w:rFonts w:eastAsia="Times New Roman" w:cs="Times New Roman"/>
                <w:color w:val="000000"/>
                <w:sz w:val="18"/>
              </w:rPr>
            </w:pPr>
          </w:p>
        </w:tc>
        <w:tc>
          <w:tcPr>
            <w:tcW w:w="422" w:type="pct"/>
            <w:tcBorders>
              <w:top w:val="nil"/>
              <w:left w:val="single" w:sz="4" w:space="0" w:color="auto"/>
              <w:bottom w:val="nil"/>
              <w:right w:val="single" w:sz="4" w:space="0" w:color="auto"/>
            </w:tcBorders>
            <w:shd w:val="clear" w:color="000000" w:fill="FFFFFF"/>
            <w:noWrap/>
            <w:vAlign w:val="bottom"/>
          </w:tcPr>
          <w:p w14:paraId="42AE1A6A" w14:textId="63EB2660" w:rsidR="00BB5428" w:rsidRDefault="00BB5428" w:rsidP="000F1A32">
            <w:pPr>
              <w:spacing w:after="0" w:line="240" w:lineRule="auto"/>
              <w:jc w:val="center"/>
              <w:rPr>
                <w:rFonts w:eastAsia="Times New Roman" w:cs="Times New Roman"/>
                <w:color w:val="000000"/>
                <w:sz w:val="18"/>
              </w:rPr>
            </w:pPr>
            <w:r>
              <w:rPr>
                <w:rFonts w:eastAsia="Times New Roman" w:cs="Times New Roman"/>
                <w:color w:val="000000"/>
                <w:sz w:val="18"/>
              </w:rPr>
              <w:t>dry g</w:t>
            </w:r>
          </w:p>
        </w:tc>
        <w:tc>
          <w:tcPr>
            <w:tcW w:w="610" w:type="pct"/>
            <w:tcBorders>
              <w:top w:val="nil"/>
              <w:left w:val="nil"/>
              <w:bottom w:val="nil"/>
              <w:right w:val="nil"/>
            </w:tcBorders>
            <w:shd w:val="clear" w:color="000000" w:fill="FFFFFF"/>
            <w:noWrap/>
            <w:vAlign w:val="bottom"/>
          </w:tcPr>
          <w:p w14:paraId="2C3822A9" w14:textId="4F2C1474" w:rsidR="00BB5428" w:rsidRPr="00B45328" w:rsidRDefault="00BB5428" w:rsidP="000F1A32">
            <w:pPr>
              <w:spacing w:after="0" w:line="240" w:lineRule="auto"/>
              <w:jc w:val="right"/>
              <w:rPr>
                <w:rFonts w:eastAsia="Times New Roman" w:cs="Times New Roman"/>
                <w:color w:val="000000"/>
                <w:sz w:val="18"/>
              </w:rPr>
            </w:pPr>
            <w:r>
              <w:rPr>
                <w:rFonts w:eastAsia="Times New Roman" w:cs="Times New Roman"/>
                <w:color w:val="000000"/>
                <w:sz w:val="18"/>
              </w:rPr>
              <w:t>108</w:t>
            </w:r>
          </w:p>
        </w:tc>
        <w:tc>
          <w:tcPr>
            <w:tcW w:w="610" w:type="pct"/>
            <w:tcBorders>
              <w:top w:val="nil"/>
              <w:left w:val="nil"/>
              <w:bottom w:val="nil"/>
              <w:right w:val="nil"/>
            </w:tcBorders>
            <w:shd w:val="clear" w:color="000000" w:fill="FFFFFF"/>
            <w:noWrap/>
            <w:vAlign w:val="bottom"/>
          </w:tcPr>
          <w:p w14:paraId="0096722F" w14:textId="69198F56" w:rsidR="00BB5428" w:rsidRPr="00B45328" w:rsidRDefault="00BB5428" w:rsidP="000F1A32">
            <w:pPr>
              <w:spacing w:after="0" w:line="240" w:lineRule="auto"/>
              <w:jc w:val="right"/>
              <w:rPr>
                <w:rFonts w:eastAsia="Times New Roman" w:cs="Times New Roman"/>
                <w:color w:val="000000"/>
                <w:sz w:val="18"/>
              </w:rPr>
            </w:pPr>
            <w:r>
              <w:rPr>
                <w:rFonts w:eastAsia="Times New Roman" w:cs="Times New Roman"/>
                <w:color w:val="000000"/>
                <w:sz w:val="18"/>
              </w:rPr>
              <w:t>0</w:t>
            </w:r>
          </w:p>
        </w:tc>
        <w:tc>
          <w:tcPr>
            <w:tcW w:w="610" w:type="pct"/>
            <w:tcBorders>
              <w:top w:val="nil"/>
              <w:left w:val="nil"/>
              <w:bottom w:val="nil"/>
              <w:right w:val="nil"/>
            </w:tcBorders>
            <w:shd w:val="clear" w:color="000000" w:fill="FFFFFF"/>
            <w:noWrap/>
            <w:vAlign w:val="bottom"/>
          </w:tcPr>
          <w:p w14:paraId="26A71ED0" w14:textId="149CD759" w:rsidR="00BB5428" w:rsidRDefault="00BB5428" w:rsidP="000F1A32">
            <w:pPr>
              <w:spacing w:after="0" w:line="240" w:lineRule="auto"/>
              <w:jc w:val="right"/>
              <w:rPr>
                <w:rFonts w:eastAsia="Times New Roman" w:cs="Times New Roman"/>
                <w:color w:val="000000"/>
                <w:sz w:val="18"/>
              </w:rPr>
            </w:pPr>
            <w:r>
              <w:rPr>
                <w:rFonts w:eastAsia="Times New Roman" w:cs="Times New Roman"/>
                <w:color w:val="000000"/>
                <w:sz w:val="18"/>
              </w:rPr>
              <w:t>23.8</w:t>
            </w:r>
          </w:p>
        </w:tc>
        <w:tc>
          <w:tcPr>
            <w:tcW w:w="609" w:type="pct"/>
            <w:tcBorders>
              <w:top w:val="nil"/>
              <w:left w:val="nil"/>
              <w:bottom w:val="nil"/>
            </w:tcBorders>
            <w:shd w:val="clear" w:color="000000" w:fill="FFFFFF"/>
            <w:noWrap/>
            <w:vAlign w:val="bottom"/>
          </w:tcPr>
          <w:p w14:paraId="7455CBB5" w14:textId="5FFE2388" w:rsidR="00BB5428" w:rsidRDefault="00BB5428" w:rsidP="000F1A32">
            <w:pPr>
              <w:spacing w:after="0" w:line="240" w:lineRule="auto"/>
              <w:jc w:val="right"/>
              <w:rPr>
                <w:rFonts w:eastAsia="Times New Roman" w:cs="Times New Roman"/>
                <w:color w:val="000000"/>
                <w:sz w:val="18"/>
              </w:rPr>
            </w:pPr>
            <w:r>
              <w:rPr>
                <w:rFonts w:eastAsia="Times New Roman" w:cs="Times New Roman"/>
                <w:color w:val="000000"/>
                <w:sz w:val="18"/>
              </w:rPr>
              <w:t>35.3</w:t>
            </w:r>
          </w:p>
        </w:tc>
      </w:tr>
      <w:tr w:rsidR="00DD684D" w:rsidRPr="00B45328" w14:paraId="10C00EB3" w14:textId="77777777" w:rsidTr="00A47A70">
        <w:trPr>
          <w:trHeight w:val="20"/>
        </w:trPr>
        <w:tc>
          <w:tcPr>
            <w:tcW w:w="2139" w:type="pct"/>
            <w:tcBorders>
              <w:top w:val="nil"/>
              <w:bottom w:val="nil"/>
              <w:right w:val="nil"/>
            </w:tcBorders>
            <w:shd w:val="clear" w:color="000000" w:fill="FFFFFF"/>
            <w:noWrap/>
            <w:vAlign w:val="bottom"/>
          </w:tcPr>
          <w:p w14:paraId="3F144708" w14:textId="546FE5C9" w:rsidR="00DD684D" w:rsidRPr="00B45328" w:rsidRDefault="00DD684D"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Natural Gas</w:t>
            </w:r>
          </w:p>
        </w:tc>
        <w:tc>
          <w:tcPr>
            <w:tcW w:w="422" w:type="pct"/>
            <w:tcBorders>
              <w:top w:val="nil"/>
              <w:left w:val="single" w:sz="4" w:space="0" w:color="auto"/>
              <w:bottom w:val="nil"/>
              <w:right w:val="single" w:sz="4" w:space="0" w:color="auto"/>
            </w:tcBorders>
            <w:shd w:val="clear" w:color="000000" w:fill="FFFFFF"/>
            <w:noWrap/>
          </w:tcPr>
          <w:p w14:paraId="07F5E0AA" w14:textId="17202A96" w:rsidR="00DD684D" w:rsidRPr="00A84D10" w:rsidRDefault="00DD684D" w:rsidP="000F1A32">
            <w:pPr>
              <w:spacing w:after="0" w:line="240" w:lineRule="auto"/>
              <w:jc w:val="center"/>
              <w:rPr>
                <w:rFonts w:eastAsia="Times New Roman" w:cs="Times New Roman"/>
                <w:color w:val="000000"/>
                <w:sz w:val="18"/>
              </w:rPr>
            </w:pPr>
            <w:r>
              <w:rPr>
                <w:rFonts w:eastAsia="Times New Roman" w:cs="Times New Roman"/>
                <w:color w:val="000000"/>
                <w:sz w:val="18"/>
              </w:rPr>
              <w:t>M</w:t>
            </w:r>
            <w:r w:rsidRPr="00A84D10">
              <w:rPr>
                <w:rFonts w:eastAsia="Times New Roman" w:cs="Times New Roman"/>
                <w:color w:val="000000"/>
                <w:sz w:val="18"/>
              </w:rPr>
              <w:t>J</w:t>
            </w:r>
          </w:p>
        </w:tc>
        <w:tc>
          <w:tcPr>
            <w:tcW w:w="610" w:type="pct"/>
            <w:tcBorders>
              <w:top w:val="nil"/>
              <w:left w:val="nil"/>
              <w:bottom w:val="nil"/>
              <w:right w:val="nil"/>
            </w:tcBorders>
            <w:shd w:val="clear" w:color="000000" w:fill="FFFFFF"/>
            <w:noWrap/>
            <w:vAlign w:val="bottom"/>
          </w:tcPr>
          <w:p w14:paraId="7EB89CAA" w14:textId="1FBED4FD" w:rsidR="00DD684D" w:rsidRPr="00B45328" w:rsidRDefault="00DD684D"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0.00</w:t>
            </w:r>
          </w:p>
        </w:tc>
        <w:tc>
          <w:tcPr>
            <w:tcW w:w="610" w:type="pct"/>
            <w:tcBorders>
              <w:top w:val="nil"/>
              <w:left w:val="nil"/>
              <w:bottom w:val="nil"/>
              <w:right w:val="nil"/>
            </w:tcBorders>
            <w:shd w:val="clear" w:color="000000" w:fill="FFFFFF"/>
            <w:noWrap/>
            <w:vAlign w:val="bottom"/>
          </w:tcPr>
          <w:p w14:paraId="0B5F2DD5" w14:textId="2E1C42C4" w:rsidR="00DD684D" w:rsidRPr="00B45328" w:rsidRDefault="00DD684D"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1</w:t>
            </w:r>
            <w:r>
              <w:rPr>
                <w:rFonts w:eastAsia="Times New Roman" w:cs="Times New Roman"/>
                <w:color w:val="000000"/>
                <w:sz w:val="18"/>
              </w:rPr>
              <w:t>.</w:t>
            </w:r>
            <w:r w:rsidRPr="00B45328">
              <w:rPr>
                <w:rFonts w:eastAsia="Times New Roman" w:cs="Times New Roman"/>
                <w:color w:val="000000"/>
                <w:sz w:val="18"/>
              </w:rPr>
              <w:t>52</w:t>
            </w:r>
          </w:p>
        </w:tc>
        <w:tc>
          <w:tcPr>
            <w:tcW w:w="610" w:type="pct"/>
            <w:tcBorders>
              <w:top w:val="nil"/>
              <w:left w:val="nil"/>
              <w:bottom w:val="nil"/>
              <w:right w:val="nil"/>
            </w:tcBorders>
            <w:shd w:val="clear" w:color="000000" w:fill="FFFFFF"/>
            <w:noWrap/>
            <w:vAlign w:val="bottom"/>
          </w:tcPr>
          <w:p w14:paraId="5D6DF275" w14:textId="42D608BE" w:rsidR="00DD684D" w:rsidRPr="00B45328" w:rsidRDefault="00DD684D"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1</w:t>
            </w:r>
            <w:r>
              <w:rPr>
                <w:rFonts w:eastAsia="Times New Roman" w:cs="Times New Roman"/>
                <w:color w:val="000000"/>
                <w:sz w:val="18"/>
              </w:rPr>
              <w:t>.</w:t>
            </w:r>
            <w:r w:rsidRPr="00B45328">
              <w:rPr>
                <w:rFonts w:eastAsia="Times New Roman" w:cs="Times New Roman"/>
                <w:color w:val="000000"/>
                <w:sz w:val="18"/>
              </w:rPr>
              <w:t>2</w:t>
            </w:r>
            <w:r>
              <w:rPr>
                <w:rFonts w:eastAsia="Times New Roman" w:cs="Times New Roman"/>
                <w:color w:val="000000"/>
                <w:sz w:val="18"/>
              </w:rPr>
              <w:t>4</w:t>
            </w:r>
          </w:p>
        </w:tc>
        <w:tc>
          <w:tcPr>
            <w:tcW w:w="609" w:type="pct"/>
            <w:tcBorders>
              <w:top w:val="nil"/>
              <w:left w:val="nil"/>
              <w:bottom w:val="nil"/>
            </w:tcBorders>
            <w:shd w:val="clear" w:color="000000" w:fill="FFFFFF"/>
            <w:noWrap/>
            <w:vAlign w:val="bottom"/>
          </w:tcPr>
          <w:p w14:paraId="5DFB678A" w14:textId="60339284" w:rsidR="00DD684D" w:rsidRPr="00B45328" w:rsidRDefault="00DD684D"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w:t>
            </w:r>
          </w:p>
        </w:tc>
      </w:tr>
      <w:tr w:rsidR="00DD684D" w:rsidRPr="00B45328" w14:paraId="02D56956" w14:textId="77777777" w:rsidTr="00A47A70">
        <w:trPr>
          <w:trHeight w:val="20"/>
        </w:trPr>
        <w:tc>
          <w:tcPr>
            <w:tcW w:w="2139" w:type="pct"/>
            <w:tcBorders>
              <w:top w:val="nil"/>
              <w:bottom w:val="nil"/>
              <w:right w:val="nil"/>
            </w:tcBorders>
            <w:shd w:val="clear" w:color="000000" w:fill="FFFFFF"/>
            <w:noWrap/>
            <w:vAlign w:val="bottom"/>
          </w:tcPr>
          <w:p w14:paraId="327576BA" w14:textId="0DF48721" w:rsidR="00DD684D" w:rsidRPr="00B45328" w:rsidRDefault="00DD684D"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Coal</w:t>
            </w:r>
          </w:p>
        </w:tc>
        <w:tc>
          <w:tcPr>
            <w:tcW w:w="422" w:type="pct"/>
            <w:tcBorders>
              <w:top w:val="nil"/>
              <w:left w:val="single" w:sz="4" w:space="0" w:color="auto"/>
              <w:bottom w:val="nil"/>
              <w:right w:val="single" w:sz="4" w:space="0" w:color="auto"/>
            </w:tcBorders>
            <w:shd w:val="clear" w:color="000000" w:fill="FFFFFF"/>
            <w:noWrap/>
          </w:tcPr>
          <w:p w14:paraId="5F5889B2" w14:textId="45249C06" w:rsidR="00DD684D" w:rsidRPr="00A84D10" w:rsidRDefault="00DD684D" w:rsidP="000F1A32">
            <w:pPr>
              <w:spacing w:after="0" w:line="240" w:lineRule="auto"/>
              <w:jc w:val="center"/>
              <w:rPr>
                <w:rFonts w:eastAsia="Times New Roman" w:cs="Times New Roman"/>
                <w:color w:val="000000"/>
                <w:sz w:val="18"/>
              </w:rPr>
            </w:pPr>
            <w:r>
              <w:rPr>
                <w:rFonts w:eastAsia="Times New Roman" w:cs="Times New Roman"/>
                <w:color w:val="000000"/>
                <w:sz w:val="18"/>
              </w:rPr>
              <w:t>M</w:t>
            </w:r>
            <w:r w:rsidRPr="00A84D10">
              <w:rPr>
                <w:rFonts w:eastAsia="Times New Roman" w:cs="Times New Roman"/>
                <w:color w:val="000000"/>
                <w:sz w:val="18"/>
              </w:rPr>
              <w:t>J</w:t>
            </w:r>
          </w:p>
        </w:tc>
        <w:tc>
          <w:tcPr>
            <w:tcW w:w="610" w:type="pct"/>
            <w:tcBorders>
              <w:top w:val="nil"/>
              <w:left w:val="nil"/>
              <w:bottom w:val="nil"/>
              <w:right w:val="nil"/>
            </w:tcBorders>
            <w:shd w:val="clear" w:color="000000" w:fill="FFFFFF"/>
            <w:noWrap/>
            <w:vAlign w:val="bottom"/>
          </w:tcPr>
          <w:p w14:paraId="62A7607B" w14:textId="43D9E079" w:rsidR="00DD684D" w:rsidRPr="00B45328" w:rsidRDefault="00DD684D"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0.00</w:t>
            </w:r>
          </w:p>
        </w:tc>
        <w:tc>
          <w:tcPr>
            <w:tcW w:w="610" w:type="pct"/>
            <w:tcBorders>
              <w:top w:val="nil"/>
              <w:left w:val="nil"/>
              <w:bottom w:val="nil"/>
              <w:right w:val="nil"/>
            </w:tcBorders>
            <w:shd w:val="clear" w:color="000000" w:fill="FFFFFF"/>
            <w:noWrap/>
            <w:vAlign w:val="bottom"/>
          </w:tcPr>
          <w:p w14:paraId="4A2D4153" w14:textId="18855967" w:rsidR="00DD684D" w:rsidRPr="00B45328" w:rsidRDefault="00DD684D"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w:t>
            </w:r>
          </w:p>
        </w:tc>
        <w:tc>
          <w:tcPr>
            <w:tcW w:w="610" w:type="pct"/>
            <w:tcBorders>
              <w:top w:val="nil"/>
              <w:left w:val="nil"/>
              <w:bottom w:val="nil"/>
              <w:right w:val="nil"/>
            </w:tcBorders>
            <w:shd w:val="clear" w:color="000000" w:fill="FFFFFF"/>
            <w:noWrap/>
            <w:vAlign w:val="bottom"/>
          </w:tcPr>
          <w:p w14:paraId="452FE38B" w14:textId="4EC376EB" w:rsidR="00DD684D" w:rsidRPr="00B45328" w:rsidRDefault="00DD684D"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w:t>
            </w:r>
          </w:p>
        </w:tc>
        <w:tc>
          <w:tcPr>
            <w:tcW w:w="609" w:type="pct"/>
            <w:tcBorders>
              <w:top w:val="nil"/>
              <w:left w:val="nil"/>
              <w:bottom w:val="nil"/>
            </w:tcBorders>
            <w:shd w:val="clear" w:color="000000" w:fill="FFFFFF"/>
            <w:noWrap/>
            <w:vAlign w:val="bottom"/>
          </w:tcPr>
          <w:p w14:paraId="593935E5" w14:textId="11B2E2D2" w:rsidR="00DD684D" w:rsidRPr="00B45328" w:rsidRDefault="00DD684D" w:rsidP="000F1A32">
            <w:pPr>
              <w:spacing w:after="0" w:line="240" w:lineRule="auto"/>
              <w:jc w:val="right"/>
              <w:rPr>
                <w:rFonts w:eastAsia="Times New Roman" w:cs="Times New Roman"/>
                <w:color w:val="000000"/>
                <w:sz w:val="18"/>
              </w:rPr>
            </w:pPr>
            <w:r>
              <w:rPr>
                <w:rFonts w:eastAsia="Times New Roman" w:cs="Times New Roman"/>
                <w:color w:val="000000"/>
                <w:sz w:val="18"/>
              </w:rPr>
              <w:t>0.</w:t>
            </w:r>
            <w:r w:rsidRPr="00B45328">
              <w:rPr>
                <w:rFonts w:eastAsia="Times New Roman" w:cs="Times New Roman"/>
                <w:color w:val="000000"/>
                <w:sz w:val="18"/>
              </w:rPr>
              <w:t>83</w:t>
            </w:r>
            <w:r>
              <w:rPr>
                <w:rFonts w:eastAsia="Times New Roman" w:cs="Times New Roman"/>
                <w:color w:val="000000"/>
                <w:sz w:val="18"/>
              </w:rPr>
              <w:t>6</w:t>
            </w:r>
          </w:p>
        </w:tc>
      </w:tr>
      <w:tr w:rsidR="00C96BE0" w:rsidRPr="00B45328" w14:paraId="450C6F80" w14:textId="77777777" w:rsidTr="00A47A70">
        <w:trPr>
          <w:trHeight w:val="20"/>
        </w:trPr>
        <w:tc>
          <w:tcPr>
            <w:tcW w:w="2139" w:type="pct"/>
            <w:tcBorders>
              <w:top w:val="nil"/>
              <w:bottom w:val="nil"/>
              <w:right w:val="nil"/>
            </w:tcBorders>
            <w:shd w:val="clear" w:color="000000" w:fill="FFFFFF"/>
            <w:noWrap/>
            <w:vAlign w:val="bottom"/>
            <w:hideMark/>
          </w:tcPr>
          <w:p w14:paraId="1781F035"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Diesel</w:t>
            </w:r>
          </w:p>
        </w:tc>
        <w:tc>
          <w:tcPr>
            <w:tcW w:w="422" w:type="pct"/>
            <w:tcBorders>
              <w:top w:val="nil"/>
              <w:left w:val="single" w:sz="4" w:space="0" w:color="auto"/>
              <w:bottom w:val="nil"/>
              <w:right w:val="single" w:sz="4" w:space="0" w:color="auto"/>
            </w:tcBorders>
            <w:shd w:val="clear" w:color="000000" w:fill="FFFFFF"/>
            <w:noWrap/>
            <w:hideMark/>
          </w:tcPr>
          <w:p w14:paraId="6EE8DD45" w14:textId="28B1CC97" w:rsidR="00C96BE0" w:rsidRPr="00B45328" w:rsidRDefault="00C96BE0" w:rsidP="000F1A32">
            <w:pPr>
              <w:spacing w:after="0" w:line="240" w:lineRule="auto"/>
              <w:jc w:val="center"/>
              <w:rPr>
                <w:rFonts w:eastAsia="Times New Roman" w:cs="Times New Roman"/>
                <w:color w:val="000000"/>
                <w:sz w:val="18"/>
              </w:rPr>
            </w:pPr>
            <w:r w:rsidRPr="00A84D10">
              <w:rPr>
                <w:rFonts w:eastAsia="Times New Roman" w:cs="Times New Roman"/>
                <w:color w:val="000000"/>
                <w:sz w:val="18"/>
              </w:rPr>
              <w:t>J</w:t>
            </w:r>
          </w:p>
        </w:tc>
        <w:tc>
          <w:tcPr>
            <w:tcW w:w="610" w:type="pct"/>
            <w:tcBorders>
              <w:top w:val="nil"/>
              <w:left w:val="nil"/>
              <w:bottom w:val="nil"/>
              <w:right w:val="nil"/>
            </w:tcBorders>
            <w:shd w:val="clear" w:color="000000" w:fill="FFFFFF"/>
            <w:noWrap/>
            <w:vAlign w:val="bottom"/>
            <w:hideMark/>
          </w:tcPr>
          <w:p w14:paraId="767D8CDC"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1,528</w:t>
            </w:r>
          </w:p>
        </w:tc>
        <w:tc>
          <w:tcPr>
            <w:tcW w:w="610" w:type="pct"/>
            <w:tcBorders>
              <w:top w:val="nil"/>
              <w:left w:val="nil"/>
              <w:bottom w:val="nil"/>
              <w:right w:val="nil"/>
            </w:tcBorders>
            <w:shd w:val="clear" w:color="000000" w:fill="FFFFFF"/>
            <w:noWrap/>
            <w:vAlign w:val="bottom"/>
            <w:hideMark/>
          </w:tcPr>
          <w:p w14:paraId="4991CA3C"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924</w:t>
            </w:r>
          </w:p>
        </w:tc>
        <w:tc>
          <w:tcPr>
            <w:tcW w:w="610" w:type="pct"/>
            <w:tcBorders>
              <w:top w:val="nil"/>
              <w:left w:val="nil"/>
              <w:bottom w:val="nil"/>
              <w:right w:val="nil"/>
            </w:tcBorders>
            <w:shd w:val="clear" w:color="000000" w:fill="FFFFFF"/>
            <w:noWrap/>
            <w:vAlign w:val="bottom"/>
            <w:hideMark/>
          </w:tcPr>
          <w:p w14:paraId="79083271"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1,245</w:t>
            </w:r>
          </w:p>
        </w:tc>
        <w:tc>
          <w:tcPr>
            <w:tcW w:w="609" w:type="pct"/>
            <w:tcBorders>
              <w:top w:val="nil"/>
              <w:left w:val="nil"/>
              <w:bottom w:val="nil"/>
            </w:tcBorders>
            <w:shd w:val="clear" w:color="000000" w:fill="FFFFFF"/>
            <w:noWrap/>
            <w:vAlign w:val="bottom"/>
            <w:hideMark/>
          </w:tcPr>
          <w:p w14:paraId="4A84004D"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1,535</w:t>
            </w:r>
          </w:p>
        </w:tc>
      </w:tr>
      <w:tr w:rsidR="00C96BE0" w:rsidRPr="00B45328" w14:paraId="06C5ABB8" w14:textId="77777777" w:rsidTr="00A47A70">
        <w:trPr>
          <w:trHeight w:val="20"/>
        </w:trPr>
        <w:tc>
          <w:tcPr>
            <w:tcW w:w="2139" w:type="pct"/>
            <w:tcBorders>
              <w:top w:val="nil"/>
              <w:bottom w:val="nil"/>
              <w:right w:val="nil"/>
            </w:tcBorders>
            <w:shd w:val="clear" w:color="000000" w:fill="FFFFFF"/>
            <w:noWrap/>
            <w:vAlign w:val="bottom"/>
            <w:hideMark/>
          </w:tcPr>
          <w:p w14:paraId="0AF912B4"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Natural Gas (process fuel)</w:t>
            </w:r>
          </w:p>
        </w:tc>
        <w:tc>
          <w:tcPr>
            <w:tcW w:w="422" w:type="pct"/>
            <w:tcBorders>
              <w:top w:val="nil"/>
              <w:left w:val="single" w:sz="4" w:space="0" w:color="auto"/>
              <w:bottom w:val="nil"/>
              <w:right w:val="single" w:sz="4" w:space="0" w:color="auto"/>
            </w:tcBorders>
            <w:shd w:val="clear" w:color="000000" w:fill="FFFFFF"/>
            <w:noWrap/>
            <w:hideMark/>
          </w:tcPr>
          <w:p w14:paraId="104F2B68" w14:textId="37DF9C99" w:rsidR="00C96BE0" w:rsidRPr="00B45328" w:rsidRDefault="00C96BE0" w:rsidP="000F1A32">
            <w:pPr>
              <w:spacing w:after="0" w:line="240" w:lineRule="auto"/>
              <w:jc w:val="center"/>
              <w:rPr>
                <w:rFonts w:eastAsia="Times New Roman" w:cs="Times New Roman"/>
                <w:color w:val="000000"/>
                <w:sz w:val="18"/>
              </w:rPr>
            </w:pPr>
            <w:r w:rsidRPr="00A84D10">
              <w:rPr>
                <w:rFonts w:eastAsia="Times New Roman" w:cs="Times New Roman"/>
                <w:color w:val="000000"/>
                <w:sz w:val="18"/>
              </w:rPr>
              <w:t>J</w:t>
            </w:r>
          </w:p>
        </w:tc>
        <w:tc>
          <w:tcPr>
            <w:tcW w:w="610" w:type="pct"/>
            <w:tcBorders>
              <w:top w:val="nil"/>
              <w:left w:val="nil"/>
              <w:bottom w:val="nil"/>
              <w:right w:val="nil"/>
            </w:tcBorders>
            <w:shd w:val="clear" w:color="000000" w:fill="FFFFFF"/>
            <w:noWrap/>
            <w:vAlign w:val="bottom"/>
            <w:hideMark/>
          </w:tcPr>
          <w:p w14:paraId="4840E81B"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0.00</w:t>
            </w:r>
          </w:p>
        </w:tc>
        <w:tc>
          <w:tcPr>
            <w:tcW w:w="610" w:type="pct"/>
            <w:tcBorders>
              <w:top w:val="nil"/>
              <w:left w:val="nil"/>
              <w:bottom w:val="nil"/>
              <w:right w:val="nil"/>
            </w:tcBorders>
            <w:shd w:val="clear" w:color="000000" w:fill="FFFFFF"/>
            <w:noWrap/>
            <w:vAlign w:val="bottom"/>
            <w:hideMark/>
          </w:tcPr>
          <w:p w14:paraId="7D153DE7"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0.00</w:t>
            </w:r>
          </w:p>
        </w:tc>
        <w:tc>
          <w:tcPr>
            <w:tcW w:w="610" w:type="pct"/>
            <w:tcBorders>
              <w:top w:val="nil"/>
              <w:left w:val="nil"/>
              <w:bottom w:val="nil"/>
              <w:right w:val="nil"/>
            </w:tcBorders>
            <w:shd w:val="clear" w:color="000000" w:fill="FFFFFF"/>
            <w:noWrap/>
            <w:vAlign w:val="bottom"/>
            <w:hideMark/>
          </w:tcPr>
          <w:p w14:paraId="32F4CEEA"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0.00</w:t>
            </w:r>
          </w:p>
        </w:tc>
        <w:tc>
          <w:tcPr>
            <w:tcW w:w="609" w:type="pct"/>
            <w:tcBorders>
              <w:top w:val="nil"/>
              <w:left w:val="nil"/>
              <w:bottom w:val="nil"/>
            </w:tcBorders>
            <w:shd w:val="clear" w:color="000000" w:fill="FFFFFF"/>
            <w:noWrap/>
            <w:vAlign w:val="bottom"/>
            <w:hideMark/>
          </w:tcPr>
          <w:p w14:paraId="74B2B48E"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0.00</w:t>
            </w:r>
          </w:p>
        </w:tc>
      </w:tr>
      <w:tr w:rsidR="00C96BE0" w:rsidRPr="00B45328" w14:paraId="28222983" w14:textId="77777777" w:rsidTr="00A47A70">
        <w:trPr>
          <w:trHeight w:val="20"/>
        </w:trPr>
        <w:tc>
          <w:tcPr>
            <w:tcW w:w="2139" w:type="pct"/>
            <w:tcBorders>
              <w:top w:val="nil"/>
              <w:bottom w:val="nil"/>
              <w:right w:val="nil"/>
            </w:tcBorders>
            <w:shd w:val="clear" w:color="000000" w:fill="FFFFFF"/>
            <w:noWrap/>
            <w:vAlign w:val="bottom"/>
            <w:hideMark/>
          </w:tcPr>
          <w:p w14:paraId="14911C68"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Hydrogen</w:t>
            </w:r>
          </w:p>
        </w:tc>
        <w:tc>
          <w:tcPr>
            <w:tcW w:w="422" w:type="pct"/>
            <w:tcBorders>
              <w:top w:val="nil"/>
              <w:left w:val="single" w:sz="4" w:space="0" w:color="auto"/>
              <w:bottom w:val="nil"/>
              <w:right w:val="single" w:sz="4" w:space="0" w:color="auto"/>
            </w:tcBorders>
            <w:shd w:val="clear" w:color="000000" w:fill="FFFFFF"/>
            <w:noWrap/>
            <w:hideMark/>
          </w:tcPr>
          <w:p w14:paraId="1DFB75A2" w14:textId="2C2EAA76" w:rsidR="00C96BE0" w:rsidRPr="00B45328" w:rsidRDefault="00C96BE0" w:rsidP="000F1A32">
            <w:pPr>
              <w:spacing w:after="0" w:line="240" w:lineRule="auto"/>
              <w:jc w:val="center"/>
              <w:rPr>
                <w:rFonts w:eastAsia="Times New Roman" w:cs="Times New Roman"/>
                <w:color w:val="000000"/>
                <w:sz w:val="18"/>
              </w:rPr>
            </w:pPr>
            <w:r w:rsidRPr="00A84D10">
              <w:rPr>
                <w:rFonts w:eastAsia="Times New Roman" w:cs="Times New Roman"/>
                <w:color w:val="000000"/>
                <w:sz w:val="18"/>
              </w:rPr>
              <w:t>J</w:t>
            </w:r>
          </w:p>
        </w:tc>
        <w:tc>
          <w:tcPr>
            <w:tcW w:w="610" w:type="pct"/>
            <w:tcBorders>
              <w:top w:val="nil"/>
              <w:left w:val="nil"/>
              <w:bottom w:val="nil"/>
              <w:right w:val="nil"/>
            </w:tcBorders>
            <w:shd w:val="clear" w:color="000000" w:fill="FFFFFF"/>
            <w:noWrap/>
            <w:vAlign w:val="bottom"/>
            <w:hideMark/>
          </w:tcPr>
          <w:p w14:paraId="52DC9600"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0.00</w:t>
            </w:r>
          </w:p>
        </w:tc>
        <w:tc>
          <w:tcPr>
            <w:tcW w:w="610" w:type="pct"/>
            <w:tcBorders>
              <w:top w:val="nil"/>
              <w:left w:val="nil"/>
              <w:bottom w:val="nil"/>
              <w:right w:val="nil"/>
            </w:tcBorders>
            <w:shd w:val="clear" w:color="000000" w:fill="FFFFFF"/>
            <w:noWrap/>
            <w:vAlign w:val="bottom"/>
            <w:hideMark/>
          </w:tcPr>
          <w:p w14:paraId="73736925"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w:t>
            </w:r>
          </w:p>
        </w:tc>
        <w:tc>
          <w:tcPr>
            <w:tcW w:w="610" w:type="pct"/>
            <w:tcBorders>
              <w:top w:val="nil"/>
              <w:left w:val="nil"/>
              <w:bottom w:val="nil"/>
              <w:right w:val="nil"/>
            </w:tcBorders>
            <w:shd w:val="clear" w:color="000000" w:fill="FFFFFF"/>
            <w:noWrap/>
            <w:vAlign w:val="bottom"/>
            <w:hideMark/>
          </w:tcPr>
          <w:p w14:paraId="2D95A6E8"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w:t>
            </w:r>
          </w:p>
        </w:tc>
        <w:tc>
          <w:tcPr>
            <w:tcW w:w="609" w:type="pct"/>
            <w:tcBorders>
              <w:top w:val="nil"/>
              <w:left w:val="nil"/>
              <w:bottom w:val="nil"/>
            </w:tcBorders>
            <w:shd w:val="clear" w:color="000000" w:fill="FFFFFF"/>
            <w:noWrap/>
            <w:vAlign w:val="bottom"/>
            <w:hideMark/>
          </w:tcPr>
          <w:p w14:paraId="6130CC80"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563,589</w:t>
            </w:r>
          </w:p>
        </w:tc>
      </w:tr>
      <w:tr w:rsidR="00C96BE0" w:rsidRPr="00B45328" w14:paraId="03AD9D3E" w14:textId="77777777" w:rsidTr="00A47A70">
        <w:trPr>
          <w:trHeight w:val="20"/>
        </w:trPr>
        <w:tc>
          <w:tcPr>
            <w:tcW w:w="2139" w:type="pct"/>
            <w:tcBorders>
              <w:top w:val="nil"/>
              <w:bottom w:val="single" w:sz="4" w:space="0" w:color="auto"/>
              <w:right w:val="nil"/>
            </w:tcBorders>
            <w:shd w:val="clear" w:color="000000" w:fill="FFFFFF"/>
            <w:noWrap/>
            <w:vAlign w:val="bottom"/>
            <w:hideMark/>
          </w:tcPr>
          <w:p w14:paraId="419F465B"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Electricity</w:t>
            </w:r>
          </w:p>
        </w:tc>
        <w:tc>
          <w:tcPr>
            <w:tcW w:w="422" w:type="pct"/>
            <w:tcBorders>
              <w:top w:val="nil"/>
              <w:left w:val="single" w:sz="4" w:space="0" w:color="auto"/>
              <w:bottom w:val="single" w:sz="4" w:space="0" w:color="auto"/>
              <w:right w:val="single" w:sz="4" w:space="0" w:color="auto"/>
            </w:tcBorders>
            <w:shd w:val="clear" w:color="000000" w:fill="FFFFFF"/>
            <w:noWrap/>
            <w:hideMark/>
          </w:tcPr>
          <w:p w14:paraId="165ADAA4" w14:textId="76F99A68" w:rsidR="00C96BE0" w:rsidRPr="00B45328" w:rsidRDefault="00C96BE0" w:rsidP="000F1A32">
            <w:pPr>
              <w:spacing w:after="0" w:line="240" w:lineRule="auto"/>
              <w:jc w:val="center"/>
              <w:rPr>
                <w:rFonts w:eastAsia="Times New Roman" w:cs="Times New Roman"/>
                <w:color w:val="000000"/>
                <w:sz w:val="18"/>
              </w:rPr>
            </w:pPr>
            <w:r w:rsidRPr="00A84D10">
              <w:rPr>
                <w:rFonts w:eastAsia="Times New Roman" w:cs="Times New Roman"/>
                <w:color w:val="000000"/>
                <w:sz w:val="18"/>
              </w:rPr>
              <w:t>J</w:t>
            </w:r>
          </w:p>
        </w:tc>
        <w:tc>
          <w:tcPr>
            <w:tcW w:w="610" w:type="pct"/>
            <w:tcBorders>
              <w:top w:val="nil"/>
              <w:left w:val="nil"/>
              <w:bottom w:val="single" w:sz="4" w:space="0" w:color="auto"/>
              <w:right w:val="nil"/>
            </w:tcBorders>
            <w:shd w:val="clear" w:color="000000" w:fill="FFFFFF"/>
            <w:noWrap/>
            <w:vAlign w:val="bottom"/>
            <w:hideMark/>
          </w:tcPr>
          <w:p w14:paraId="3682874B"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0.00</w:t>
            </w:r>
          </w:p>
        </w:tc>
        <w:tc>
          <w:tcPr>
            <w:tcW w:w="610" w:type="pct"/>
            <w:tcBorders>
              <w:top w:val="nil"/>
              <w:left w:val="nil"/>
              <w:bottom w:val="single" w:sz="4" w:space="0" w:color="auto"/>
              <w:right w:val="nil"/>
            </w:tcBorders>
            <w:shd w:val="clear" w:color="000000" w:fill="FFFFFF"/>
            <w:noWrap/>
            <w:vAlign w:val="bottom"/>
            <w:hideMark/>
          </w:tcPr>
          <w:p w14:paraId="488D0730"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w:t>
            </w:r>
          </w:p>
        </w:tc>
        <w:tc>
          <w:tcPr>
            <w:tcW w:w="610" w:type="pct"/>
            <w:tcBorders>
              <w:top w:val="nil"/>
              <w:left w:val="nil"/>
              <w:bottom w:val="single" w:sz="4" w:space="0" w:color="auto"/>
              <w:right w:val="nil"/>
            </w:tcBorders>
            <w:shd w:val="clear" w:color="000000" w:fill="FFFFFF"/>
            <w:noWrap/>
            <w:vAlign w:val="bottom"/>
            <w:hideMark/>
          </w:tcPr>
          <w:p w14:paraId="65598617"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7</w:t>
            </w:r>
          </w:p>
        </w:tc>
        <w:tc>
          <w:tcPr>
            <w:tcW w:w="609" w:type="pct"/>
            <w:tcBorders>
              <w:top w:val="nil"/>
              <w:left w:val="nil"/>
              <w:bottom w:val="single" w:sz="4" w:space="0" w:color="auto"/>
            </w:tcBorders>
            <w:shd w:val="clear" w:color="000000" w:fill="FFFFFF"/>
            <w:noWrap/>
            <w:vAlign w:val="bottom"/>
            <w:hideMark/>
          </w:tcPr>
          <w:p w14:paraId="367A0F66"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1</w:t>
            </w:r>
          </w:p>
        </w:tc>
      </w:tr>
      <w:tr w:rsidR="00C96BE0" w:rsidRPr="00B45328" w14:paraId="74AF79DB" w14:textId="77777777" w:rsidTr="00463AFF">
        <w:trPr>
          <w:trHeight w:val="20"/>
        </w:trPr>
        <w:tc>
          <w:tcPr>
            <w:tcW w:w="2139" w:type="pct"/>
            <w:tcBorders>
              <w:top w:val="single" w:sz="4" w:space="0" w:color="auto"/>
              <w:bottom w:val="single" w:sz="4" w:space="0" w:color="auto"/>
              <w:right w:val="nil"/>
            </w:tcBorders>
            <w:shd w:val="clear" w:color="000000" w:fill="FFFFFF"/>
            <w:noWrap/>
            <w:vAlign w:val="bottom"/>
            <w:hideMark/>
          </w:tcPr>
          <w:p w14:paraId="6407D381" w14:textId="77777777" w:rsidR="00C96BE0" w:rsidRPr="00B45328" w:rsidRDefault="00C96BE0" w:rsidP="000F1A32">
            <w:pPr>
              <w:spacing w:after="0" w:line="240" w:lineRule="auto"/>
              <w:jc w:val="left"/>
              <w:rPr>
                <w:rFonts w:eastAsia="Times New Roman" w:cs="Times New Roman"/>
                <w:b/>
                <w:bCs/>
                <w:color w:val="000000"/>
                <w:sz w:val="18"/>
              </w:rPr>
            </w:pPr>
            <w:r w:rsidRPr="00B45328">
              <w:rPr>
                <w:rFonts w:eastAsia="Times New Roman" w:cs="Times New Roman"/>
                <w:b/>
                <w:bCs/>
                <w:color w:val="000000"/>
                <w:sz w:val="18"/>
              </w:rPr>
              <w:t>Water</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9FA92" w14:textId="5D30BA73" w:rsidR="00C96BE0" w:rsidRPr="00B45328" w:rsidRDefault="00C96BE0" w:rsidP="000F1A32">
            <w:pPr>
              <w:spacing w:after="0" w:line="240" w:lineRule="auto"/>
              <w:jc w:val="center"/>
              <w:rPr>
                <w:rFonts w:eastAsia="Times New Roman" w:cs="Times New Roman"/>
                <w:color w:val="000000"/>
                <w:sz w:val="18"/>
              </w:rPr>
            </w:pPr>
            <w:r>
              <w:rPr>
                <w:rFonts w:eastAsia="Times New Roman" w:cs="Times New Roman"/>
                <w:color w:val="000000"/>
                <w:sz w:val="18"/>
              </w:rPr>
              <w:t>L</w:t>
            </w:r>
          </w:p>
        </w:tc>
        <w:tc>
          <w:tcPr>
            <w:tcW w:w="610" w:type="pct"/>
            <w:tcBorders>
              <w:top w:val="single" w:sz="4" w:space="0" w:color="auto"/>
              <w:left w:val="nil"/>
              <w:bottom w:val="single" w:sz="4" w:space="0" w:color="auto"/>
              <w:right w:val="nil"/>
            </w:tcBorders>
            <w:shd w:val="clear" w:color="000000" w:fill="FFFFFF"/>
            <w:noWrap/>
            <w:vAlign w:val="bottom"/>
            <w:hideMark/>
          </w:tcPr>
          <w:p w14:paraId="001E6C70" w14:textId="07466146"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0.173</w:t>
            </w:r>
          </w:p>
        </w:tc>
        <w:tc>
          <w:tcPr>
            <w:tcW w:w="610" w:type="pct"/>
            <w:tcBorders>
              <w:top w:val="single" w:sz="4" w:space="0" w:color="auto"/>
              <w:left w:val="nil"/>
              <w:bottom w:val="single" w:sz="4" w:space="0" w:color="auto"/>
              <w:right w:val="nil"/>
            </w:tcBorders>
            <w:shd w:val="clear" w:color="000000" w:fill="FFFFFF"/>
            <w:noWrap/>
            <w:vAlign w:val="bottom"/>
            <w:hideMark/>
          </w:tcPr>
          <w:p w14:paraId="2A32BD69" w14:textId="6DDD777C"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0.058</w:t>
            </w:r>
          </w:p>
        </w:tc>
        <w:tc>
          <w:tcPr>
            <w:tcW w:w="610" w:type="pct"/>
            <w:tcBorders>
              <w:top w:val="single" w:sz="4" w:space="0" w:color="auto"/>
              <w:left w:val="nil"/>
              <w:bottom w:val="single" w:sz="4" w:space="0" w:color="auto"/>
              <w:right w:val="nil"/>
            </w:tcBorders>
            <w:shd w:val="clear" w:color="000000" w:fill="FFFFFF"/>
            <w:noWrap/>
            <w:vAlign w:val="bottom"/>
            <w:hideMark/>
          </w:tcPr>
          <w:p w14:paraId="77992BE0" w14:textId="32DDF3D3"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0.055</w:t>
            </w:r>
          </w:p>
        </w:tc>
        <w:tc>
          <w:tcPr>
            <w:tcW w:w="609" w:type="pct"/>
            <w:tcBorders>
              <w:top w:val="single" w:sz="4" w:space="0" w:color="auto"/>
              <w:left w:val="nil"/>
              <w:bottom w:val="single" w:sz="4" w:space="0" w:color="auto"/>
            </w:tcBorders>
            <w:shd w:val="clear" w:color="000000" w:fill="FFFFFF"/>
            <w:noWrap/>
            <w:vAlign w:val="bottom"/>
            <w:hideMark/>
          </w:tcPr>
          <w:p w14:paraId="4A352A95" w14:textId="2D073EDA"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0.348</w:t>
            </w:r>
          </w:p>
        </w:tc>
      </w:tr>
      <w:tr w:rsidR="00236517" w:rsidRPr="00B45328" w14:paraId="08C3946A" w14:textId="77777777" w:rsidTr="00463AFF">
        <w:trPr>
          <w:trHeight w:val="20"/>
        </w:trPr>
        <w:tc>
          <w:tcPr>
            <w:tcW w:w="2139" w:type="pct"/>
            <w:tcBorders>
              <w:top w:val="single" w:sz="4" w:space="0" w:color="auto"/>
              <w:right w:val="nil"/>
            </w:tcBorders>
            <w:shd w:val="clear" w:color="000000" w:fill="FFFFFF"/>
            <w:noWrap/>
            <w:vAlign w:val="bottom"/>
            <w:hideMark/>
          </w:tcPr>
          <w:p w14:paraId="0AE2BDB3" w14:textId="77777777" w:rsidR="00236517" w:rsidRPr="00B45328" w:rsidRDefault="00236517" w:rsidP="000F1A32">
            <w:pPr>
              <w:spacing w:after="0" w:line="240" w:lineRule="auto"/>
              <w:jc w:val="left"/>
              <w:rPr>
                <w:rFonts w:eastAsia="Times New Roman" w:cs="Times New Roman"/>
                <w:b/>
                <w:bCs/>
                <w:color w:val="000000"/>
                <w:sz w:val="18"/>
              </w:rPr>
            </w:pPr>
            <w:r w:rsidRPr="00B45328">
              <w:rPr>
                <w:rFonts w:eastAsia="Times New Roman" w:cs="Times New Roman"/>
                <w:b/>
                <w:bCs/>
                <w:color w:val="000000"/>
                <w:sz w:val="18"/>
              </w:rPr>
              <w:t>Chemicals/Catalysts</w:t>
            </w:r>
          </w:p>
        </w:tc>
        <w:tc>
          <w:tcPr>
            <w:tcW w:w="422" w:type="pct"/>
            <w:tcBorders>
              <w:top w:val="single" w:sz="4" w:space="0" w:color="auto"/>
              <w:left w:val="single" w:sz="4" w:space="0" w:color="auto"/>
              <w:right w:val="single" w:sz="4" w:space="0" w:color="auto"/>
            </w:tcBorders>
            <w:shd w:val="clear" w:color="000000" w:fill="FFFFFF"/>
            <w:noWrap/>
            <w:vAlign w:val="bottom"/>
            <w:hideMark/>
          </w:tcPr>
          <w:p w14:paraId="37942850" w14:textId="77777777" w:rsidR="00236517" w:rsidRPr="00B45328" w:rsidRDefault="00236517" w:rsidP="000F1A32">
            <w:pPr>
              <w:spacing w:after="0" w:line="240" w:lineRule="auto"/>
              <w:jc w:val="center"/>
              <w:rPr>
                <w:rFonts w:eastAsia="Times New Roman" w:cs="Times New Roman"/>
                <w:color w:val="000000"/>
                <w:sz w:val="18"/>
              </w:rPr>
            </w:pPr>
            <w:r w:rsidRPr="00B45328">
              <w:rPr>
                <w:rFonts w:eastAsia="Times New Roman" w:cs="Times New Roman"/>
                <w:color w:val="000000"/>
                <w:sz w:val="18"/>
              </w:rPr>
              <w:t> </w:t>
            </w:r>
          </w:p>
        </w:tc>
        <w:tc>
          <w:tcPr>
            <w:tcW w:w="610" w:type="pct"/>
            <w:tcBorders>
              <w:top w:val="single" w:sz="4" w:space="0" w:color="auto"/>
              <w:left w:val="nil"/>
              <w:right w:val="nil"/>
            </w:tcBorders>
            <w:shd w:val="clear" w:color="000000" w:fill="FFFFFF"/>
            <w:noWrap/>
            <w:vAlign w:val="bottom"/>
            <w:hideMark/>
          </w:tcPr>
          <w:p w14:paraId="49DB45F3" w14:textId="77777777" w:rsidR="00236517" w:rsidRPr="00B45328" w:rsidRDefault="00236517"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 </w:t>
            </w:r>
          </w:p>
        </w:tc>
        <w:tc>
          <w:tcPr>
            <w:tcW w:w="610" w:type="pct"/>
            <w:tcBorders>
              <w:top w:val="single" w:sz="4" w:space="0" w:color="auto"/>
              <w:left w:val="nil"/>
              <w:right w:val="nil"/>
            </w:tcBorders>
            <w:shd w:val="clear" w:color="000000" w:fill="FFFFFF"/>
            <w:noWrap/>
            <w:vAlign w:val="bottom"/>
            <w:hideMark/>
          </w:tcPr>
          <w:p w14:paraId="7C1760A7" w14:textId="77777777" w:rsidR="00236517" w:rsidRPr="00B45328" w:rsidRDefault="00236517"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 </w:t>
            </w:r>
          </w:p>
        </w:tc>
        <w:tc>
          <w:tcPr>
            <w:tcW w:w="610" w:type="pct"/>
            <w:tcBorders>
              <w:top w:val="single" w:sz="4" w:space="0" w:color="auto"/>
              <w:left w:val="nil"/>
              <w:right w:val="nil"/>
            </w:tcBorders>
            <w:shd w:val="clear" w:color="000000" w:fill="FFFFFF"/>
            <w:noWrap/>
            <w:vAlign w:val="bottom"/>
            <w:hideMark/>
          </w:tcPr>
          <w:p w14:paraId="27E3DDA8" w14:textId="77777777" w:rsidR="00236517" w:rsidRPr="00B45328" w:rsidRDefault="00236517"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 </w:t>
            </w:r>
          </w:p>
        </w:tc>
        <w:tc>
          <w:tcPr>
            <w:tcW w:w="609" w:type="pct"/>
            <w:tcBorders>
              <w:top w:val="single" w:sz="4" w:space="0" w:color="auto"/>
              <w:left w:val="nil"/>
            </w:tcBorders>
            <w:shd w:val="clear" w:color="000000" w:fill="FFFFFF"/>
            <w:noWrap/>
            <w:vAlign w:val="bottom"/>
            <w:hideMark/>
          </w:tcPr>
          <w:p w14:paraId="6BBB3A97" w14:textId="77777777" w:rsidR="00236517" w:rsidRPr="00B45328" w:rsidRDefault="00236517"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 </w:t>
            </w:r>
          </w:p>
        </w:tc>
      </w:tr>
      <w:tr w:rsidR="00C96BE0" w:rsidRPr="00B45328" w14:paraId="6EDDB965" w14:textId="77777777" w:rsidTr="00463AFF">
        <w:trPr>
          <w:trHeight w:val="20"/>
        </w:trPr>
        <w:tc>
          <w:tcPr>
            <w:tcW w:w="2139" w:type="pct"/>
            <w:tcBorders>
              <w:bottom w:val="nil"/>
              <w:right w:val="nil"/>
            </w:tcBorders>
            <w:shd w:val="clear" w:color="000000" w:fill="FFFFFF"/>
            <w:noWrap/>
            <w:vAlign w:val="bottom"/>
            <w:hideMark/>
          </w:tcPr>
          <w:p w14:paraId="52216D2A"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Magnesium Oxide (MgO)</w:t>
            </w:r>
          </w:p>
        </w:tc>
        <w:tc>
          <w:tcPr>
            <w:tcW w:w="422" w:type="pct"/>
            <w:tcBorders>
              <w:left w:val="single" w:sz="4" w:space="0" w:color="auto"/>
              <w:bottom w:val="nil"/>
              <w:right w:val="single" w:sz="4" w:space="0" w:color="auto"/>
            </w:tcBorders>
            <w:shd w:val="clear" w:color="000000" w:fill="FFFFFF"/>
            <w:noWrap/>
            <w:hideMark/>
          </w:tcPr>
          <w:p w14:paraId="6765C91C" w14:textId="3D20EF3F"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left w:val="nil"/>
              <w:bottom w:val="nil"/>
              <w:right w:val="nil"/>
            </w:tcBorders>
            <w:shd w:val="clear" w:color="000000" w:fill="FFFFFF"/>
            <w:noWrap/>
            <w:vAlign w:val="bottom"/>
            <w:hideMark/>
          </w:tcPr>
          <w:p w14:paraId="46E123BE" w14:textId="0CEEF40C"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13.35</w:t>
            </w:r>
          </w:p>
        </w:tc>
        <w:tc>
          <w:tcPr>
            <w:tcW w:w="610" w:type="pct"/>
            <w:tcBorders>
              <w:left w:val="nil"/>
              <w:bottom w:val="nil"/>
              <w:right w:val="nil"/>
            </w:tcBorders>
            <w:shd w:val="clear" w:color="000000" w:fill="FFFFFF"/>
            <w:noWrap/>
            <w:vAlign w:val="bottom"/>
            <w:hideMark/>
          </w:tcPr>
          <w:p w14:paraId="4625116E" w14:textId="35208E00"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0.00</w:t>
            </w:r>
          </w:p>
        </w:tc>
        <w:tc>
          <w:tcPr>
            <w:tcW w:w="610" w:type="pct"/>
            <w:tcBorders>
              <w:left w:val="nil"/>
              <w:bottom w:val="nil"/>
              <w:right w:val="nil"/>
            </w:tcBorders>
            <w:shd w:val="clear" w:color="000000" w:fill="FFFFFF"/>
            <w:noWrap/>
            <w:vAlign w:val="bottom"/>
            <w:hideMark/>
          </w:tcPr>
          <w:p w14:paraId="171A87E6" w14:textId="06963240"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2.94</w:t>
            </w:r>
          </w:p>
        </w:tc>
        <w:tc>
          <w:tcPr>
            <w:tcW w:w="609" w:type="pct"/>
            <w:tcBorders>
              <w:left w:val="nil"/>
              <w:bottom w:val="nil"/>
            </w:tcBorders>
            <w:shd w:val="clear" w:color="000000" w:fill="FFFFFF"/>
            <w:noWrap/>
            <w:vAlign w:val="bottom"/>
            <w:hideMark/>
          </w:tcPr>
          <w:p w14:paraId="6FDC3B59" w14:textId="1D0C6125"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4.36</w:t>
            </w:r>
          </w:p>
        </w:tc>
      </w:tr>
      <w:tr w:rsidR="00C96BE0" w:rsidRPr="00B45328" w14:paraId="5B2BFDE7" w14:textId="77777777" w:rsidTr="00A47A70">
        <w:trPr>
          <w:trHeight w:val="20"/>
        </w:trPr>
        <w:tc>
          <w:tcPr>
            <w:tcW w:w="2139" w:type="pct"/>
            <w:tcBorders>
              <w:top w:val="nil"/>
              <w:bottom w:val="nil"/>
              <w:right w:val="nil"/>
            </w:tcBorders>
            <w:shd w:val="clear" w:color="000000" w:fill="FFFFFF"/>
            <w:noWrap/>
            <w:vAlign w:val="bottom"/>
            <w:hideMark/>
          </w:tcPr>
          <w:p w14:paraId="4B1E3F77"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Olivine</w:t>
            </w:r>
          </w:p>
        </w:tc>
        <w:tc>
          <w:tcPr>
            <w:tcW w:w="422" w:type="pct"/>
            <w:tcBorders>
              <w:top w:val="nil"/>
              <w:left w:val="single" w:sz="4" w:space="0" w:color="auto"/>
              <w:bottom w:val="nil"/>
              <w:right w:val="single" w:sz="4" w:space="0" w:color="auto"/>
            </w:tcBorders>
            <w:shd w:val="clear" w:color="000000" w:fill="FFFFFF"/>
            <w:noWrap/>
            <w:hideMark/>
          </w:tcPr>
          <w:p w14:paraId="6275A819" w14:textId="61417D9A"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top w:val="nil"/>
              <w:left w:val="nil"/>
              <w:bottom w:val="nil"/>
              <w:right w:val="nil"/>
            </w:tcBorders>
            <w:shd w:val="clear" w:color="000000" w:fill="FFFFFF"/>
            <w:noWrap/>
            <w:vAlign w:val="bottom"/>
            <w:hideMark/>
          </w:tcPr>
          <w:p w14:paraId="56BEA830" w14:textId="769C0093"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306.49</w:t>
            </w:r>
          </w:p>
        </w:tc>
        <w:tc>
          <w:tcPr>
            <w:tcW w:w="610" w:type="pct"/>
            <w:tcBorders>
              <w:top w:val="nil"/>
              <w:left w:val="nil"/>
              <w:bottom w:val="nil"/>
              <w:right w:val="nil"/>
            </w:tcBorders>
            <w:shd w:val="clear" w:color="000000" w:fill="FFFFFF"/>
            <w:noWrap/>
            <w:vAlign w:val="bottom"/>
            <w:hideMark/>
          </w:tcPr>
          <w:p w14:paraId="6B4722DC" w14:textId="76D691E1"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0.00</w:t>
            </w:r>
          </w:p>
        </w:tc>
        <w:tc>
          <w:tcPr>
            <w:tcW w:w="610" w:type="pct"/>
            <w:tcBorders>
              <w:top w:val="nil"/>
              <w:left w:val="nil"/>
              <w:bottom w:val="nil"/>
              <w:right w:val="nil"/>
            </w:tcBorders>
            <w:shd w:val="clear" w:color="000000" w:fill="FFFFFF"/>
            <w:noWrap/>
            <w:vAlign w:val="bottom"/>
            <w:hideMark/>
          </w:tcPr>
          <w:p w14:paraId="23114191" w14:textId="501D6BC7"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67.51</w:t>
            </w:r>
          </w:p>
        </w:tc>
        <w:tc>
          <w:tcPr>
            <w:tcW w:w="609" w:type="pct"/>
            <w:tcBorders>
              <w:top w:val="nil"/>
              <w:left w:val="nil"/>
              <w:bottom w:val="nil"/>
            </w:tcBorders>
            <w:shd w:val="clear" w:color="000000" w:fill="FFFFFF"/>
            <w:noWrap/>
            <w:vAlign w:val="bottom"/>
            <w:hideMark/>
          </w:tcPr>
          <w:p w14:paraId="680D2407" w14:textId="451DF2E9"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0.00</w:t>
            </w:r>
          </w:p>
        </w:tc>
      </w:tr>
      <w:tr w:rsidR="00C96BE0" w:rsidRPr="00B45328" w14:paraId="11B0B4D5" w14:textId="77777777" w:rsidTr="00A47A70">
        <w:trPr>
          <w:trHeight w:val="20"/>
        </w:trPr>
        <w:tc>
          <w:tcPr>
            <w:tcW w:w="2139" w:type="pct"/>
            <w:tcBorders>
              <w:top w:val="nil"/>
              <w:bottom w:val="nil"/>
              <w:right w:val="nil"/>
            </w:tcBorders>
            <w:shd w:val="clear" w:color="000000" w:fill="FFFFFF"/>
            <w:noWrap/>
            <w:vAlign w:val="bottom"/>
            <w:hideMark/>
          </w:tcPr>
          <w:p w14:paraId="41B86D32"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Tar Reformer Catalyst</w:t>
            </w:r>
          </w:p>
        </w:tc>
        <w:tc>
          <w:tcPr>
            <w:tcW w:w="422" w:type="pct"/>
            <w:tcBorders>
              <w:top w:val="nil"/>
              <w:left w:val="single" w:sz="4" w:space="0" w:color="auto"/>
              <w:bottom w:val="nil"/>
              <w:right w:val="single" w:sz="4" w:space="0" w:color="auto"/>
            </w:tcBorders>
            <w:shd w:val="clear" w:color="000000" w:fill="FFFFFF"/>
            <w:noWrap/>
            <w:hideMark/>
          </w:tcPr>
          <w:p w14:paraId="5B41EEAE" w14:textId="4997FAF6"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top w:val="nil"/>
              <w:left w:val="nil"/>
              <w:bottom w:val="nil"/>
              <w:right w:val="nil"/>
            </w:tcBorders>
            <w:shd w:val="clear" w:color="000000" w:fill="FFFFFF"/>
            <w:noWrap/>
            <w:vAlign w:val="bottom"/>
            <w:hideMark/>
          </w:tcPr>
          <w:p w14:paraId="0B6E690C" w14:textId="7E8E15EF"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13.20</w:t>
            </w:r>
          </w:p>
        </w:tc>
        <w:tc>
          <w:tcPr>
            <w:tcW w:w="610" w:type="pct"/>
            <w:tcBorders>
              <w:top w:val="nil"/>
              <w:left w:val="nil"/>
              <w:bottom w:val="nil"/>
              <w:right w:val="nil"/>
            </w:tcBorders>
            <w:shd w:val="clear" w:color="000000" w:fill="FFFFFF"/>
            <w:noWrap/>
            <w:vAlign w:val="bottom"/>
            <w:hideMark/>
          </w:tcPr>
          <w:p w14:paraId="25C0B10D" w14:textId="28806CA2"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4.97</w:t>
            </w:r>
          </w:p>
        </w:tc>
        <w:tc>
          <w:tcPr>
            <w:tcW w:w="610" w:type="pct"/>
            <w:tcBorders>
              <w:top w:val="nil"/>
              <w:left w:val="nil"/>
              <w:bottom w:val="nil"/>
              <w:right w:val="nil"/>
            </w:tcBorders>
            <w:shd w:val="clear" w:color="000000" w:fill="FFFFFF"/>
            <w:noWrap/>
            <w:vAlign w:val="bottom"/>
            <w:hideMark/>
          </w:tcPr>
          <w:p w14:paraId="6C550255" w14:textId="2A5C6AD4"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5.57</w:t>
            </w:r>
          </w:p>
        </w:tc>
        <w:tc>
          <w:tcPr>
            <w:tcW w:w="609" w:type="pct"/>
            <w:tcBorders>
              <w:top w:val="nil"/>
              <w:left w:val="nil"/>
              <w:bottom w:val="nil"/>
            </w:tcBorders>
            <w:shd w:val="clear" w:color="000000" w:fill="FFFFFF"/>
            <w:noWrap/>
            <w:vAlign w:val="bottom"/>
            <w:hideMark/>
          </w:tcPr>
          <w:p w14:paraId="14476314" w14:textId="2AD3B850"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14.40</w:t>
            </w:r>
          </w:p>
        </w:tc>
      </w:tr>
      <w:tr w:rsidR="00C96BE0" w:rsidRPr="00B45328" w14:paraId="72261EA6" w14:textId="77777777" w:rsidTr="00A47A70">
        <w:trPr>
          <w:trHeight w:val="20"/>
        </w:trPr>
        <w:tc>
          <w:tcPr>
            <w:tcW w:w="2139" w:type="pct"/>
            <w:tcBorders>
              <w:top w:val="nil"/>
              <w:right w:val="nil"/>
            </w:tcBorders>
            <w:shd w:val="clear" w:color="000000" w:fill="FFFFFF"/>
            <w:noWrap/>
            <w:vAlign w:val="bottom"/>
            <w:hideMark/>
          </w:tcPr>
          <w:p w14:paraId="43161C8E"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Zinc Oxide (ZnO) Catalyst</w:t>
            </w:r>
          </w:p>
        </w:tc>
        <w:tc>
          <w:tcPr>
            <w:tcW w:w="422" w:type="pct"/>
            <w:tcBorders>
              <w:top w:val="nil"/>
              <w:left w:val="single" w:sz="4" w:space="0" w:color="auto"/>
              <w:right w:val="single" w:sz="4" w:space="0" w:color="auto"/>
            </w:tcBorders>
            <w:shd w:val="clear" w:color="000000" w:fill="FFFFFF"/>
            <w:noWrap/>
            <w:hideMark/>
          </w:tcPr>
          <w:p w14:paraId="425250DF" w14:textId="5F5046A2"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top w:val="nil"/>
              <w:left w:val="nil"/>
              <w:right w:val="nil"/>
            </w:tcBorders>
            <w:shd w:val="clear" w:color="000000" w:fill="FFFFFF"/>
            <w:noWrap/>
            <w:vAlign w:val="bottom"/>
            <w:hideMark/>
          </w:tcPr>
          <w:p w14:paraId="6AF55A51" w14:textId="5729E6D3"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3.44</w:t>
            </w:r>
          </w:p>
        </w:tc>
        <w:tc>
          <w:tcPr>
            <w:tcW w:w="610" w:type="pct"/>
            <w:tcBorders>
              <w:top w:val="nil"/>
              <w:left w:val="nil"/>
              <w:right w:val="nil"/>
            </w:tcBorders>
            <w:shd w:val="clear" w:color="000000" w:fill="FFFFFF"/>
            <w:noWrap/>
            <w:vAlign w:val="bottom"/>
            <w:hideMark/>
          </w:tcPr>
          <w:p w14:paraId="6196D76D" w14:textId="10379A01"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1.96</w:t>
            </w:r>
          </w:p>
        </w:tc>
        <w:tc>
          <w:tcPr>
            <w:tcW w:w="610" w:type="pct"/>
            <w:tcBorders>
              <w:top w:val="nil"/>
              <w:left w:val="nil"/>
              <w:right w:val="nil"/>
            </w:tcBorders>
            <w:shd w:val="clear" w:color="000000" w:fill="FFFFFF"/>
            <w:noWrap/>
            <w:vAlign w:val="bottom"/>
            <w:hideMark/>
          </w:tcPr>
          <w:p w14:paraId="72D35021" w14:textId="06B539C8"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2.24</w:t>
            </w:r>
          </w:p>
        </w:tc>
        <w:tc>
          <w:tcPr>
            <w:tcW w:w="609" w:type="pct"/>
            <w:tcBorders>
              <w:top w:val="nil"/>
              <w:left w:val="nil"/>
            </w:tcBorders>
            <w:shd w:val="clear" w:color="000000" w:fill="FFFFFF"/>
            <w:noWrap/>
            <w:vAlign w:val="bottom"/>
            <w:hideMark/>
          </w:tcPr>
          <w:p w14:paraId="2FB5F288" w14:textId="62C18652"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1.92</w:t>
            </w:r>
          </w:p>
        </w:tc>
      </w:tr>
      <w:tr w:rsidR="00C96BE0" w:rsidRPr="00B45328" w14:paraId="7678C127" w14:textId="77777777" w:rsidTr="00A47A70">
        <w:trPr>
          <w:trHeight w:val="20"/>
        </w:trPr>
        <w:tc>
          <w:tcPr>
            <w:tcW w:w="2139" w:type="pct"/>
            <w:tcBorders>
              <w:top w:val="nil"/>
              <w:bottom w:val="nil"/>
              <w:right w:val="nil"/>
            </w:tcBorders>
            <w:shd w:val="clear" w:color="000000" w:fill="FFFFFF"/>
            <w:noWrap/>
            <w:vAlign w:val="bottom"/>
            <w:hideMark/>
          </w:tcPr>
          <w:p w14:paraId="3B72BEF1"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FT Synthesis Catalyst (Co based)</w:t>
            </w:r>
          </w:p>
        </w:tc>
        <w:tc>
          <w:tcPr>
            <w:tcW w:w="422" w:type="pct"/>
            <w:tcBorders>
              <w:top w:val="nil"/>
              <w:left w:val="single" w:sz="4" w:space="0" w:color="auto"/>
              <w:bottom w:val="nil"/>
              <w:right w:val="single" w:sz="4" w:space="0" w:color="auto"/>
            </w:tcBorders>
            <w:shd w:val="clear" w:color="000000" w:fill="FFFFFF"/>
            <w:noWrap/>
            <w:hideMark/>
          </w:tcPr>
          <w:p w14:paraId="3C13E81C" w14:textId="4D9A73AA"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top w:val="nil"/>
              <w:left w:val="nil"/>
              <w:bottom w:val="nil"/>
              <w:right w:val="nil"/>
            </w:tcBorders>
            <w:shd w:val="clear" w:color="000000" w:fill="FFFFFF"/>
            <w:noWrap/>
            <w:vAlign w:val="bottom"/>
            <w:hideMark/>
          </w:tcPr>
          <w:p w14:paraId="62BC5BBA" w14:textId="1241E033"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2.51</w:t>
            </w:r>
          </w:p>
        </w:tc>
        <w:tc>
          <w:tcPr>
            <w:tcW w:w="610" w:type="pct"/>
            <w:tcBorders>
              <w:top w:val="nil"/>
              <w:left w:val="nil"/>
              <w:bottom w:val="nil"/>
              <w:right w:val="nil"/>
            </w:tcBorders>
            <w:shd w:val="clear" w:color="000000" w:fill="FFFFFF"/>
            <w:noWrap/>
            <w:vAlign w:val="bottom"/>
            <w:hideMark/>
          </w:tcPr>
          <w:p w14:paraId="6F17DB70" w14:textId="0DB99A20"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0.87</w:t>
            </w:r>
          </w:p>
        </w:tc>
        <w:tc>
          <w:tcPr>
            <w:tcW w:w="610" w:type="pct"/>
            <w:tcBorders>
              <w:top w:val="nil"/>
              <w:left w:val="nil"/>
              <w:bottom w:val="nil"/>
              <w:right w:val="nil"/>
            </w:tcBorders>
            <w:shd w:val="clear" w:color="000000" w:fill="FFFFFF"/>
            <w:noWrap/>
            <w:vAlign w:val="bottom"/>
            <w:hideMark/>
          </w:tcPr>
          <w:p w14:paraId="014A54F9" w14:textId="3ECE2BCE"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1.34</w:t>
            </w:r>
          </w:p>
        </w:tc>
        <w:tc>
          <w:tcPr>
            <w:tcW w:w="609" w:type="pct"/>
            <w:tcBorders>
              <w:top w:val="nil"/>
              <w:left w:val="nil"/>
              <w:bottom w:val="nil"/>
            </w:tcBorders>
            <w:shd w:val="clear" w:color="000000" w:fill="FFFFFF"/>
            <w:noWrap/>
            <w:vAlign w:val="bottom"/>
            <w:hideMark/>
          </w:tcPr>
          <w:p w14:paraId="1BAA7C8C" w14:textId="10C6A73B"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1.36</w:t>
            </w:r>
          </w:p>
        </w:tc>
      </w:tr>
      <w:tr w:rsidR="00C96BE0" w:rsidRPr="00B45328" w14:paraId="2C751489" w14:textId="77777777" w:rsidTr="00A47A70">
        <w:trPr>
          <w:trHeight w:val="20"/>
        </w:trPr>
        <w:tc>
          <w:tcPr>
            <w:tcW w:w="2139" w:type="pct"/>
            <w:tcBorders>
              <w:top w:val="nil"/>
              <w:bottom w:val="nil"/>
              <w:right w:val="nil"/>
            </w:tcBorders>
            <w:shd w:val="clear" w:color="000000" w:fill="FFFFFF"/>
            <w:noWrap/>
            <w:vAlign w:val="bottom"/>
            <w:hideMark/>
          </w:tcPr>
          <w:p w14:paraId="1196E6A6"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Hydrotreating Catalyst (sulfided CoMo or NiMo)</w:t>
            </w:r>
          </w:p>
        </w:tc>
        <w:tc>
          <w:tcPr>
            <w:tcW w:w="422" w:type="pct"/>
            <w:tcBorders>
              <w:top w:val="nil"/>
              <w:left w:val="single" w:sz="4" w:space="0" w:color="auto"/>
              <w:bottom w:val="nil"/>
              <w:right w:val="single" w:sz="4" w:space="0" w:color="auto"/>
            </w:tcBorders>
            <w:shd w:val="clear" w:color="000000" w:fill="FFFFFF"/>
            <w:noWrap/>
            <w:hideMark/>
          </w:tcPr>
          <w:p w14:paraId="651B38B5" w14:textId="68E98422"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top w:val="nil"/>
              <w:left w:val="nil"/>
              <w:bottom w:val="nil"/>
              <w:right w:val="nil"/>
            </w:tcBorders>
            <w:shd w:val="clear" w:color="000000" w:fill="FFFFFF"/>
            <w:noWrap/>
            <w:vAlign w:val="bottom"/>
            <w:hideMark/>
          </w:tcPr>
          <w:p w14:paraId="605B5FC1" w14:textId="14EAE47D"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3.24</w:t>
            </w:r>
          </w:p>
        </w:tc>
        <w:tc>
          <w:tcPr>
            <w:tcW w:w="610" w:type="pct"/>
            <w:tcBorders>
              <w:top w:val="nil"/>
              <w:left w:val="nil"/>
              <w:bottom w:val="nil"/>
              <w:right w:val="nil"/>
            </w:tcBorders>
            <w:shd w:val="clear" w:color="000000" w:fill="FFFFFF"/>
            <w:noWrap/>
            <w:vAlign w:val="bottom"/>
            <w:hideMark/>
          </w:tcPr>
          <w:p w14:paraId="2C754D73" w14:textId="14C57816"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1.84</w:t>
            </w:r>
          </w:p>
        </w:tc>
        <w:tc>
          <w:tcPr>
            <w:tcW w:w="610" w:type="pct"/>
            <w:tcBorders>
              <w:top w:val="nil"/>
              <w:left w:val="nil"/>
              <w:bottom w:val="nil"/>
              <w:right w:val="nil"/>
            </w:tcBorders>
            <w:shd w:val="clear" w:color="000000" w:fill="FFFFFF"/>
            <w:noWrap/>
            <w:vAlign w:val="bottom"/>
            <w:hideMark/>
          </w:tcPr>
          <w:p w14:paraId="2B29028E" w14:textId="707727BF"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2.58</w:t>
            </w:r>
          </w:p>
        </w:tc>
        <w:tc>
          <w:tcPr>
            <w:tcW w:w="609" w:type="pct"/>
            <w:tcBorders>
              <w:top w:val="nil"/>
              <w:left w:val="nil"/>
              <w:bottom w:val="nil"/>
            </w:tcBorders>
            <w:shd w:val="clear" w:color="000000" w:fill="FFFFFF"/>
            <w:noWrap/>
            <w:vAlign w:val="bottom"/>
            <w:hideMark/>
          </w:tcPr>
          <w:p w14:paraId="5F53C9E4" w14:textId="02B0F193"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2.65</w:t>
            </w:r>
          </w:p>
        </w:tc>
      </w:tr>
      <w:tr w:rsidR="00C96BE0" w:rsidRPr="00B45328" w14:paraId="59E6AF6F" w14:textId="77777777" w:rsidTr="00A47A70">
        <w:trPr>
          <w:trHeight w:val="20"/>
        </w:trPr>
        <w:tc>
          <w:tcPr>
            <w:tcW w:w="2139" w:type="pct"/>
            <w:tcBorders>
              <w:top w:val="nil"/>
              <w:bottom w:val="nil"/>
              <w:right w:val="nil"/>
            </w:tcBorders>
            <w:shd w:val="clear" w:color="000000" w:fill="FFFFFF"/>
            <w:noWrap/>
            <w:vAlign w:val="bottom"/>
            <w:hideMark/>
          </w:tcPr>
          <w:p w14:paraId="22A1840B"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LO-CAT Chemicals</w:t>
            </w:r>
          </w:p>
        </w:tc>
        <w:tc>
          <w:tcPr>
            <w:tcW w:w="422" w:type="pct"/>
            <w:tcBorders>
              <w:top w:val="nil"/>
              <w:left w:val="single" w:sz="4" w:space="0" w:color="auto"/>
              <w:bottom w:val="nil"/>
              <w:right w:val="single" w:sz="4" w:space="0" w:color="auto"/>
            </w:tcBorders>
            <w:shd w:val="clear" w:color="000000" w:fill="FFFFFF"/>
            <w:noWrap/>
            <w:hideMark/>
          </w:tcPr>
          <w:p w14:paraId="29535D49" w14:textId="602E8AFC"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top w:val="nil"/>
              <w:left w:val="nil"/>
              <w:bottom w:val="nil"/>
              <w:right w:val="nil"/>
            </w:tcBorders>
            <w:shd w:val="clear" w:color="000000" w:fill="FFFFFF"/>
            <w:noWrap/>
            <w:vAlign w:val="bottom"/>
            <w:hideMark/>
          </w:tcPr>
          <w:p w14:paraId="7E2E7156" w14:textId="2D986506"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74.34</w:t>
            </w:r>
          </w:p>
        </w:tc>
        <w:tc>
          <w:tcPr>
            <w:tcW w:w="610" w:type="pct"/>
            <w:tcBorders>
              <w:top w:val="nil"/>
              <w:left w:val="nil"/>
              <w:bottom w:val="nil"/>
              <w:right w:val="nil"/>
            </w:tcBorders>
            <w:shd w:val="clear" w:color="000000" w:fill="FFFFFF"/>
            <w:noWrap/>
            <w:vAlign w:val="bottom"/>
            <w:hideMark/>
          </w:tcPr>
          <w:p w14:paraId="56BEFCCE" w14:textId="22A52B6C"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0.00</w:t>
            </w:r>
          </w:p>
        </w:tc>
        <w:tc>
          <w:tcPr>
            <w:tcW w:w="610" w:type="pct"/>
            <w:tcBorders>
              <w:top w:val="nil"/>
              <w:left w:val="nil"/>
              <w:bottom w:val="nil"/>
              <w:right w:val="nil"/>
            </w:tcBorders>
            <w:shd w:val="clear" w:color="000000" w:fill="FFFFFF"/>
            <w:noWrap/>
            <w:vAlign w:val="bottom"/>
            <w:hideMark/>
          </w:tcPr>
          <w:p w14:paraId="77F561BE" w14:textId="7BD3046B"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16.24</w:t>
            </w:r>
          </w:p>
        </w:tc>
        <w:tc>
          <w:tcPr>
            <w:tcW w:w="609" w:type="pct"/>
            <w:tcBorders>
              <w:top w:val="nil"/>
              <w:left w:val="nil"/>
              <w:bottom w:val="nil"/>
            </w:tcBorders>
            <w:shd w:val="clear" w:color="000000" w:fill="FFFFFF"/>
            <w:noWrap/>
            <w:vAlign w:val="bottom"/>
            <w:hideMark/>
          </w:tcPr>
          <w:p w14:paraId="1BB3C058" w14:textId="41802011"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728.42</w:t>
            </w:r>
          </w:p>
        </w:tc>
      </w:tr>
      <w:tr w:rsidR="00C96BE0" w:rsidRPr="00B45328" w14:paraId="3F9C05B4" w14:textId="77777777" w:rsidTr="00A47A70">
        <w:trPr>
          <w:trHeight w:val="20"/>
        </w:trPr>
        <w:tc>
          <w:tcPr>
            <w:tcW w:w="2139" w:type="pct"/>
            <w:tcBorders>
              <w:top w:val="nil"/>
              <w:bottom w:val="nil"/>
              <w:right w:val="nil"/>
            </w:tcBorders>
            <w:shd w:val="clear" w:color="000000" w:fill="FFFFFF"/>
            <w:noWrap/>
            <w:vAlign w:val="bottom"/>
            <w:hideMark/>
          </w:tcPr>
          <w:p w14:paraId="01E50966"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Amine Make-Up</w:t>
            </w:r>
          </w:p>
        </w:tc>
        <w:tc>
          <w:tcPr>
            <w:tcW w:w="422" w:type="pct"/>
            <w:tcBorders>
              <w:top w:val="nil"/>
              <w:left w:val="single" w:sz="4" w:space="0" w:color="auto"/>
              <w:bottom w:val="nil"/>
              <w:right w:val="single" w:sz="4" w:space="0" w:color="auto"/>
            </w:tcBorders>
            <w:shd w:val="clear" w:color="000000" w:fill="FFFFFF"/>
            <w:noWrap/>
            <w:hideMark/>
          </w:tcPr>
          <w:p w14:paraId="4AA639E3" w14:textId="566CC84F"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top w:val="nil"/>
              <w:left w:val="nil"/>
              <w:bottom w:val="nil"/>
              <w:right w:val="nil"/>
            </w:tcBorders>
            <w:shd w:val="clear" w:color="000000" w:fill="FFFFFF"/>
            <w:noWrap/>
            <w:vAlign w:val="bottom"/>
            <w:hideMark/>
          </w:tcPr>
          <w:p w14:paraId="66079D45" w14:textId="1B08DB66"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0.02</w:t>
            </w:r>
          </w:p>
        </w:tc>
        <w:tc>
          <w:tcPr>
            <w:tcW w:w="610" w:type="pct"/>
            <w:tcBorders>
              <w:top w:val="nil"/>
              <w:left w:val="nil"/>
              <w:bottom w:val="nil"/>
              <w:right w:val="nil"/>
            </w:tcBorders>
            <w:shd w:val="clear" w:color="000000" w:fill="FFFFFF"/>
            <w:noWrap/>
            <w:vAlign w:val="bottom"/>
            <w:hideMark/>
          </w:tcPr>
          <w:p w14:paraId="4D294ECF" w14:textId="46F753D1"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3.72</w:t>
            </w:r>
          </w:p>
        </w:tc>
        <w:tc>
          <w:tcPr>
            <w:tcW w:w="610" w:type="pct"/>
            <w:tcBorders>
              <w:top w:val="nil"/>
              <w:left w:val="nil"/>
              <w:bottom w:val="nil"/>
              <w:right w:val="nil"/>
            </w:tcBorders>
            <w:shd w:val="clear" w:color="000000" w:fill="FFFFFF"/>
            <w:noWrap/>
            <w:vAlign w:val="bottom"/>
            <w:hideMark/>
          </w:tcPr>
          <w:p w14:paraId="44C146DF" w14:textId="453484B4"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5.35</w:t>
            </w:r>
          </w:p>
        </w:tc>
        <w:tc>
          <w:tcPr>
            <w:tcW w:w="609" w:type="pct"/>
            <w:tcBorders>
              <w:top w:val="nil"/>
              <w:left w:val="nil"/>
              <w:bottom w:val="nil"/>
            </w:tcBorders>
            <w:shd w:val="clear" w:color="000000" w:fill="FFFFFF"/>
            <w:noWrap/>
            <w:vAlign w:val="bottom"/>
            <w:hideMark/>
          </w:tcPr>
          <w:p w14:paraId="45C8B386" w14:textId="7A6F2A04"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53.19</w:t>
            </w:r>
          </w:p>
        </w:tc>
      </w:tr>
      <w:tr w:rsidR="00C96BE0" w:rsidRPr="00B45328" w14:paraId="173943B6" w14:textId="77777777" w:rsidTr="00A47A70">
        <w:trPr>
          <w:trHeight w:val="20"/>
        </w:trPr>
        <w:tc>
          <w:tcPr>
            <w:tcW w:w="2139" w:type="pct"/>
            <w:tcBorders>
              <w:top w:val="nil"/>
              <w:bottom w:val="nil"/>
              <w:right w:val="nil"/>
            </w:tcBorders>
            <w:shd w:val="clear" w:color="000000" w:fill="FFFFFF"/>
            <w:noWrap/>
            <w:vAlign w:val="bottom"/>
            <w:hideMark/>
          </w:tcPr>
          <w:p w14:paraId="5F93A50D"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Boiler Chemicals</w:t>
            </w:r>
          </w:p>
        </w:tc>
        <w:tc>
          <w:tcPr>
            <w:tcW w:w="422" w:type="pct"/>
            <w:tcBorders>
              <w:top w:val="nil"/>
              <w:left w:val="single" w:sz="4" w:space="0" w:color="auto"/>
              <w:bottom w:val="nil"/>
              <w:right w:val="single" w:sz="4" w:space="0" w:color="auto"/>
            </w:tcBorders>
            <w:shd w:val="clear" w:color="000000" w:fill="FFFFFF"/>
            <w:noWrap/>
            <w:hideMark/>
          </w:tcPr>
          <w:p w14:paraId="3E2FDBAF" w14:textId="009AF430"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top w:val="nil"/>
              <w:left w:val="nil"/>
              <w:bottom w:val="nil"/>
              <w:right w:val="nil"/>
            </w:tcBorders>
            <w:shd w:val="clear" w:color="000000" w:fill="FFFFFF"/>
            <w:noWrap/>
            <w:vAlign w:val="bottom"/>
            <w:hideMark/>
          </w:tcPr>
          <w:p w14:paraId="4D0B9AFF" w14:textId="7AD7A7A4"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0.41</w:t>
            </w:r>
          </w:p>
        </w:tc>
        <w:tc>
          <w:tcPr>
            <w:tcW w:w="610" w:type="pct"/>
            <w:tcBorders>
              <w:top w:val="nil"/>
              <w:left w:val="nil"/>
              <w:bottom w:val="nil"/>
              <w:right w:val="nil"/>
            </w:tcBorders>
            <w:shd w:val="clear" w:color="000000" w:fill="FFFFFF"/>
            <w:noWrap/>
            <w:vAlign w:val="bottom"/>
            <w:hideMark/>
          </w:tcPr>
          <w:p w14:paraId="5145FAFB" w14:textId="4C43875E"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0.24</w:t>
            </w:r>
          </w:p>
        </w:tc>
        <w:tc>
          <w:tcPr>
            <w:tcW w:w="610" w:type="pct"/>
            <w:tcBorders>
              <w:top w:val="nil"/>
              <w:left w:val="nil"/>
              <w:bottom w:val="nil"/>
              <w:right w:val="nil"/>
            </w:tcBorders>
            <w:shd w:val="clear" w:color="000000" w:fill="FFFFFF"/>
            <w:noWrap/>
            <w:vAlign w:val="bottom"/>
            <w:hideMark/>
          </w:tcPr>
          <w:p w14:paraId="04BA60EE" w14:textId="6A3F1565"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0.11</w:t>
            </w:r>
          </w:p>
        </w:tc>
        <w:tc>
          <w:tcPr>
            <w:tcW w:w="609" w:type="pct"/>
            <w:tcBorders>
              <w:top w:val="nil"/>
              <w:left w:val="nil"/>
              <w:bottom w:val="nil"/>
            </w:tcBorders>
            <w:shd w:val="clear" w:color="000000" w:fill="FFFFFF"/>
            <w:noWrap/>
            <w:vAlign w:val="bottom"/>
            <w:hideMark/>
          </w:tcPr>
          <w:p w14:paraId="7D253398" w14:textId="49E96075"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2.74</w:t>
            </w:r>
          </w:p>
        </w:tc>
      </w:tr>
      <w:tr w:rsidR="00C96BE0" w:rsidRPr="00B45328" w14:paraId="05155844" w14:textId="77777777" w:rsidTr="00A47A70">
        <w:trPr>
          <w:trHeight w:val="20"/>
        </w:trPr>
        <w:tc>
          <w:tcPr>
            <w:tcW w:w="2139" w:type="pct"/>
            <w:tcBorders>
              <w:top w:val="nil"/>
              <w:bottom w:val="nil"/>
              <w:right w:val="nil"/>
            </w:tcBorders>
            <w:shd w:val="clear" w:color="000000" w:fill="FFFFFF"/>
            <w:noWrap/>
            <w:vAlign w:val="bottom"/>
            <w:hideMark/>
          </w:tcPr>
          <w:p w14:paraId="0AE74967" w14:textId="77777777" w:rsidR="00C96BE0" w:rsidRPr="00B45328" w:rsidRDefault="00C96BE0"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Cooling Tower Chems</w:t>
            </w:r>
          </w:p>
        </w:tc>
        <w:tc>
          <w:tcPr>
            <w:tcW w:w="422" w:type="pct"/>
            <w:tcBorders>
              <w:top w:val="nil"/>
              <w:left w:val="single" w:sz="4" w:space="0" w:color="auto"/>
              <w:bottom w:val="nil"/>
              <w:right w:val="single" w:sz="4" w:space="0" w:color="auto"/>
            </w:tcBorders>
            <w:shd w:val="clear" w:color="000000" w:fill="FFFFFF"/>
            <w:noWrap/>
            <w:hideMark/>
          </w:tcPr>
          <w:p w14:paraId="65F7B54E" w14:textId="50F28BF9" w:rsidR="00C96BE0" w:rsidRPr="00B45328" w:rsidRDefault="00C96BE0" w:rsidP="000F1A32">
            <w:pPr>
              <w:spacing w:after="0" w:line="240" w:lineRule="auto"/>
              <w:jc w:val="center"/>
              <w:rPr>
                <w:rFonts w:eastAsia="Times New Roman" w:cs="Times New Roman"/>
                <w:color w:val="000000"/>
                <w:sz w:val="18"/>
              </w:rPr>
            </w:pPr>
            <w:r w:rsidRPr="0028775F">
              <w:rPr>
                <w:rFonts w:eastAsia="Times New Roman" w:cs="Times New Roman"/>
                <w:color w:val="000000"/>
                <w:sz w:val="18"/>
              </w:rPr>
              <w:t>mg</w:t>
            </w:r>
          </w:p>
        </w:tc>
        <w:tc>
          <w:tcPr>
            <w:tcW w:w="610" w:type="pct"/>
            <w:tcBorders>
              <w:top w:val="nil"/>
              <w:left w:val="nil"/>
              <w:bottom w:val="nil"/>
              <w:right w:val="nil"/>
            </w:tcBorders>
            <w:shd w:val="clear" w:color="000000" w:fill="FFFFFF"/>
            <w:noWrap/>
            <w:vAlign w:val="bottom"/>
            <w:hideMark/>
          </w:tcPr>
          <w:p w14:paraId="6AF356B6" w14:textId="6E7AFCBB"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2.49</w:t>
            </w:r>
          </w:p>
        </w:tc>
        <w:tc>
          <w:tcPr>
            <w:tcW w:w="610" w:type="pct"/>
            <w:tcBorders>
              <w:top w:val="nil"/>
              <w:left w:val="nil"/>
              <w:bottom w:val="nil"/>
              <w:right w:val="nil"/>
            </w:tcBorders>
            <w:shd w:val="clear" w:color="000000" w:fill="FFFFFF"/>
            <w:noWrap/>
            <w:vAlign w:val="bottom"/>
            <w:hideMark/>
          </w:tcPr>
          <w:p w14:paraId="14527B1B" w14:textId="1A8827C8"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0.97</w:t>
            </w:r>
          </w:p>
        </w:tc>
        <w:tc>
          <w:tcPr>
            <w:tcW w:w="610" w:type="pct"/>
            <w:tcBorders>
              <w:top w:val="nil"/>
              <w:left w:val="nil"/>
              <w:bottom w:val="nil"/>
              <w:right w:val="nil"/>
            </w:tcBorders>
            <w:shd w:val="clear" w:color="000000" w:fill="FFFFFF"/>
            <w:noWrap/>
            <w:vAlign w:val="bottom"/>
            <w:hideMark/>
          </w:tcPr>
          <w:p w14:paraId="3B497F5E" w14:textId="45CB56FC"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1.12</w:t>
            </w:r>
          </w:p>
        </w:tc>
        <w:tc>
          <w:tcPr>
            <w:tcW w:w="609" w:type="pct"/>
            <w:tcBorders>
              <w:top w:val="nil"/>
              <w:left w:val="nil"/>
              <w:bottom w:val="nil"/>
            </w:tcBorders>
            <w:shd w:val="clear" w:color="000000" w:fill="FFFFFF"/>
            <w:noWrap/>
            <w:vAlign w:val="bottom"/>
            <w:hideMark/>
          </w:tcPr>
          <w:p w14:paraId="0DA81AB5" w14:textId="13814732" w:rsidR="00C96BE0" w:rsidRPr="00B45328" w:rsidRDefault="00C96BE0" w:rsidP="000F1A32">
            <w:pPr>
              <w:spacing w:after="0" w:line="240" w:lineRule="auto"/>
              <w:jc w:val="right"/>
              <w:rPr>
                <w:rFonts w:eastAsia="Times New Roman" w:cs="Times New Roman"/>
                <w:color w:val="000000"/>
                <w:sz w:val="18"/>
              </w:rPr>
            </w:pPr>
            <w:r w:rsidRPr="00C96BE0">
              <w:rPr>
                <w:rFonts w:eastAsia="Times New Roman" w:cs="Times New Roman"/>
                <w:color w:val="000000"/>
                <w:sz w:val="18"/>
              </w:rPr>
              <w:t>1.59</w:t>
            </w:r>
          </w:p>
        </w:tc>
      </w:tr>
      <w:tr w:rsidR="00236517" w:rsidRPr="00B45328" w14:paraId="5F19A2B6" w14:textId="77777777" w:rsidTr="00B45328">
        <w:trPr>
          <w:trHeight w:val="20"/>
        </w:trPr>
        <w:tc>
          <w:tcPr>
            <w:tcW w:w="2139" w:type="pct"/>
            <w:tcBorders>
              <w:top w:val="single" w:sz="4" w:space="0" w:color="auto"/>
              <w:bottom w:val="nil"/>
              <w:right w:val="nil"/>
            </w:tcBorders>
            <w:shd w:val="clear" w:color="000000" w:fill="FFFFFF"/>
            <w:noWrap/>
            <w:vAlign w:val="bottom"/>
            <w:hideMark/>
          </w:tcPr>
          <w:p w14:paraId="1EE7D942" w14:textId="77777777" w:rsidR="00236517" w:rsidRPr="00B45328" w:rsidRDefault="00236517" w:rsidP="000F1A32">
            <w:pPr>
              <w:spacing w:after="0" w:line="240" w:lineRule="auto"/>
              <w:jc w:val="left"/>
              <w:rPr>
                <w:rFonts w:eastAsia="Times New Roman" w:cs="Times New Roman"/>
                <w:b/>
                <w:bCs/>
                <w:color w:val="000000"/>
                <w:sz w:val="18"/>
              </w:rPr>
            </w:pPr>
            <w:r w:rsidRPr="00B45328">
              <w:rPr>
                <w:rFonts w:eastAsia="Times New Roman" w:cs="Times New Roman"/>
                <w:b/>
                <w:bCs/>
                <w:color w:val="000000"/>
                <w:sz w:val="18"/>
              </w:rPr>
              <w:t>Products</w:t>
            </w:r>
          </w:p>
        </w:tc>
        <w:tc>
          <w:tcPr>
            <w:tcW w:w="422" w:type="pct"/>
            <w:tcBorders>
              <w:top w:val="single" w:sz="4" w:space="0" w:color="auto"/>
              <w:left w:val="single" w:sz="4" w:space="0" w:color="auto"/>
              <w:bottom w:val="nil"/>
              <w:right w:val="single" w:sz="4" w:space="0" w:color="auto"/>
            </w:tcBorders>
            <w:shd w:val="clear" w:color="000000" w:fill="FFFFFF"/>
            <w:noWrap/>
            <w:vAlign w:val="bottom"/>
            <w:hideMark/>
          </w:tcPr>
          <w:p w14:paraId="3F86876D" w14:textId="77777777" w:rsidR="00236517" w:rsidRPr="00B45328" w:rsidRDefault="00236517" w:rsidP="000F1A32">
            <w:pPr>
              <w:spacing w:after="0" w:line="240" w:lineRule="auto"/>
              <w:jc w:val="center"/>
              <w:rPr>
                <w:rFonts w:eastAsia="Times New Roman" w:cs="Times New Roman"/>
                <w:color w:val="000000"/>
                <w:sz w:val="18"/>
              </w:rPr>
            </w:pPr>
            <w:r w:rsidRPr="00B45328">
              <w:rPr>
                <w:rFonts w:eastAsia="Times New Roman" w:cs="Times New Roman"/>
                <w:color w:val="000000"/>
                <w:sz w:val="18"/>
              </w:rPr>
              <w:t> </w:t>
            </w:r>
          </w:p>
        </w:tc>
        <w:tc>
          <w:tcPr>
            <w:tcW w:w="610" w:type="pct"/>
            <w:tcBorders>
              <w:top w:val="single" w:sz="4" w:space="0" w:color="auto"/>
              <w:left w:val="nil"/>
              <w:bottom w:val="nil"/>
              <w:right w:val="nil"/>
            </w:tcBorders>
            <w:shd w:val="clear" w:color="000000" w:fill="FFFFFF"/>
            <w:noWrap/>
            <w:vAlign w:val="bottom"/>
            <w:hideMark/>
          </w:tcPr>
          <w:p w14:paraId="27064142" w14:textId="77777777" w:rsidR="00236517" w:rsidRPr="00B45328" w:rsidRDefault="00236517" w:rsidP="000F1A32">
            <w:pPr>
              <w:spacing w:after="0" w:line="240" w:lineRule="auto"/>
              <w:jc w:val="left"/>
              <w:rPr>
                <w:rFonts w:eastAsia="Times New Roman" w:cs="Times New Roman"/>
                <w:color w:val="000000"/>
                <w:sz w:val="18"/>
              </w:rPr>
            </w:pPr>
            <w:r w:rsidRPr="00B45328">
              <w:rPr>
                <w:rFonts w:eastAsia="Times New Roman" w:cs="Times New Roman"/>
                <w:color w:val="000000"/>
                <w:sz w:val="18"/>
              </w:rPr>
              <w:t> </w:t>
            </w:r>
          </w:p>
        </w:tc>
        <w:tc>
          <w:tcPr>
            <w:tcW w:w="610" w:type="pct"/>
            <w:tcBorders>
              <w:top w:val="single" w:sz="4" w:space="0" w:color="auto"/>
              <w:left w:val="nil"/>
              <w:bottom w:val="nil"/>
              <w:right w:val="nil"/>
            </w:tcBorders>
            <w:shd w:val="clear" w:color="000000" w:fill="FFFFFF"/>
            <w:noWrap/>
            <w:vAlign w:val="bottom"/>
            <w:hideMark/>
          </w:tcPr>
          <w:p w14:paraId="36024097" w14:textId="77777777" w:rsidR="00236517" w:rsidRPr="00B45328" w:rsidRDefault="00236517" w:rsidP="000F1A32">
            <w:pPr>
              <w:spacing w:after="0" w:line="240" w:lineRule="auto"/>
              <w:jc w:val="left"/>
              <w:rPr>
                <w:rFonts w:eastAsia="Times New Roman" w:cs="Times New Roman"/>
                <w:color w:val="000000"/>
                <w:sz w:val="18"/>
              </w:rPr>
            </w:pPr>
            <w:r w:rsidRPr="00B45328">
              <w:rPr>
                <w:rFonts w:eastAsia="Times New Roman" w:cs="Times New Roman"/>
                <w:color w:val="000000"/>
                <w:sz w:val="18"/>
              </w:rPr>
              <w:t> </w:t>
            </w:r>
          </w:p>
        </w:tc>
        <w:tc>
          <w:tcPr>
            <w:tcW w:w="610" w:type="pct"/>
            <w:tcBorders>
              <w:top w:val="single" w:sz="4" w:space="0" w:color="auto"/>
              <w:left w:val="nil"/>
              <w:bottom w:val="nil"/>
              <w:right w:val="nil"/>
            </w:tcBorders>
            <w:shd w:val="clear" w:color="000000" w:fill="FFFFFF"/>
            <w:noWrap/>
            <w:vAlign w:val="bottom"/>
            <w:hideMark/>
          </w:tcPr>
          <w:p w14:paraId="0F74C2DD" w14:textId="77777777" w:rsidR="00236517" w:rsidRPr="00B45328" w:rsidRDefault="00236517" w:rsidP="000F1A32">
            <w:pPr>
              <w:spacing w:after="0" w:line="240" w:lineRule="auto"/>
              <w:jc w:val="left"/>
              <w:rPr>
                <w:rFonts w:eastAsia="Times New Roman" w:cs="Times New Roman"/>
                <w:color w:val="000000"/>
                <w:sz w:val="18"/>
              </w:rPr>
            </w:pPr>
            <w:r w:rsidRPr="00B45328">
              <w:rPr>
                <w:rFonts w:eastAsia="Times New Roman" w:cs="Times New Roman"/>
                <w:color w:val="000000"/>
                <w:sz w:val="18"/>
              </w:rPr>
              <w:t> </w:t>
            </w:r>
          </w:p>
        </w:tc>
        <w:tc>
          <w:tcPr>
            <w:tcW w:w="609" w:type="pct"/>
            <w:tcBorders>
              <w:top w:val="single" w:sz="4" w:space="0" w:color="auto"/>
              <w:left w:val="nil"/>
              <w:bottom w:val="nil"/>
            </w:tcBorders>
            <w:shd w:val="clear" w:color="000000" w:fill="FFFFFF"/>
            <w:noWrap/>
            <w:vAlign w:val="bottom"/>
            <w:hideMark/>
          </w:tcPr>
          <w:p w14:paraId="0D64623E" w14:textId="77777777" w:rsidR="00236517" w:rsidRPr="00B45328" w:rsidRDefault="00236517" w:rsidP="000F1A32">
            <w:pPr>
              <w:spacing w:after="0" w:line="240" w:lineRule="auto"/>
              <w:jc w:val="left"/>
              <w:rPr>
                <w:rFonts w:eastAsia="Times New Roman" w:cs="Times New Roman"/>
                <w:color w:val="000000"/>
                <w:sz w:val="18"/>
              </w:rPr>
            </w:pPr>
            <w:r w:rsidRPr="00B45328">
              <w:rPr>
                <w:rFonts w:eastAsia="Times New Roman" w:cs="Times New Roman"/>
                <w:color w:val="000000"/>
                <w:sz w:val="18"/>
              </w:rPr>
              <w:t> </w:t>
            </w:r>
          </w:p>
        </w:tc>
      </w:tr>
      <w:tr w:rsidR="00236517" w:rsidRPr="00B45328" w14:paraId="7AB33D68" w14:textId="77777777" w:rsidTr="00B45328">
        <w:trPr>
          <w:trHeight w:val="20"/>
        </w:trPr>
        <w:tc>
          <w:tcPr>
            <w:tcW w:w="2139" w:type="pct"/>
            <w:tcBorders>
              <w:top w:val="nil"/>
              <w:bottom w:val="nil"/>
              <w:right w:val="nil"/>
            </w:tcBorders>
            <w:shd w:val="clear" w:color="000000" w:fill="FFFFFF"/>
            <w:noWrap/>
            <w:vAlign w:val="bottom"/>
            <w:hideMark/>
          </w:tcPr>
          <w:p w14:paraId="7584172D" w14:textId="77777777" w:rsidR="00236517" w:rsidRPr="00B45328" w:rsidRDefault="00236517" w:rsidP="000F1A32">
            <w:pPr>
              <w:spacing w:after="0" w:line="240" w:lineRule="auto"/>
              <w:ind w:firstLineChars="200" w:firstLine="360"/>
              <w:jc w:val="left"/>
              <w:rPr>
                <w:rFonts w:eastAsia="Times New Roman" w:cs="Times New Roman"/>
                <w:color w:val="000000"/>
                <w:sz w:val="18"/>
              </w:rPr>
            </w:pPr>
            <w:r w:rsidRPr="00B45328">
              <w:rPr>
                <w:rFonts w:eastAsia="Times New Roman" w:cs="Times New Roman"/>
                <w:color w:val="000000"/>
                <w:sz w:val="18"/>
              </w:rPr>
              <w:t>Marine/Diesel</w:t>
            </w:r>
          </w:p>
        </w:tc>
        <w:tc>
          <w:tcPr>
            <w:tcW w:w="422" w:type="pct"/>
            <w:tcBorders>
              <w:top w:val="nil"/>
              <w:left w:val="single" w:sz="4" w:space="0" w:color="auto"/>
              <w:bottom w:val="nil"/>
              <w:right w:val="single" w:sz="4" w:space="0" w:color="auto"/>
            </w:tcBorders>
            <w:shd w:val="clear" w:color="000000" w:fill="FFFFFF"/>
            <w:noWrap/>
            <w:vAlign w:val="bottom"/>
            <w:hideMark/>
          </w:tcPr>
          <w:p w14:paraId="677A0B3D" w14:textId="442E42BD" w:rsidR="00236517" w:rsidRPr="00B45328" w:rsidRDefault="00C96BE0" w:rsidP="000F1A32">
            <w:pPr>
              <w:spacing w:after="0" w:line="240" w:lineRule="auto"/>
              <w:jc w:val="center"/>
              <w:rPr>
                <w:rFonts w:eastAsia="Times New Roman" w:cs="Times New Roman"/>
                <w:color w:val="000000"/>
                <w:sz w:val="18"/>
              </w:rPr>
            </w:pPr>
            <w:r>
              <w:rPr>
                <w:rFonts w:eastAsia="Times New Roman" w:cs="Times New Roman"/>
                <w:color w:val="000000"/>
                <w:sz w:val="18"/>
              </w:rPr>
              <w:t>MJ</w:t>
            </w:r>
          </w:p>
        </w:tc>
        <w:tc>
          <w:tcPr>
            <w:tcW w:w="610" w:type="pct"/>
            <w:tcBorders>
              <w:top w:val="nil"/>
              <w:left w:val="nil"/>
              <w:bottom w:val="nil"/>
              <w:right w:val="nil"/>
            </w:tcBorders>
            <w:shd w:val="clear" w:color="000000" w:fill="FFFFFF"/>
            <w:noWrap/>
            <w:vAlign w:val="bottom"/>
            <w:hideMark/>
          </w:tcPr>
          <w:p w14:paraId="500E0098" w14:textId="77777777" w:rsidR="00236517" w:rsidRPr="00B45328" w:rsidRDefault="00236517" w:rsidP="000F1A32">
            <w:pPr>
              <w:spacing w:after="0" w:line="240" w:lineRule="auto"/>
              <w:jc w:val="right"/>
              <w:rPr>
                <w:rFonts w:eastAsia="Times New Roman" w:cs="Times New Roman"/>
                <w:bCs/>
                <w:sz w:val="18"/>
              </w:rPr>
            </w:pPr>
            <w:r w:rsidRPr="00B45328">
              <w:rPr>
                <w:rFonts w:eastAsia="Times New Roman" w:cs="Times New Roman"/>
                <w:bCs/>
                <w:sz w:val="18"/>
              </w:rPr>
              <w:t>0.18</w:t>
            </w:r>
          </w:p>
        </w:tc>
        <w:tc>
          <w:tcPr>
            <w:tcW w:w="610" w:type="pct"/>
            <w:tcBorders>
              <w:top w:val="nil"/>
              <w:left w:val="nil"/>
              <w:bottom w:val="nil"/>
              <w:right w:val="nil"/>
            </w:tcBorders>
            <w:shd w:val="clear" w:color="000000" w:fill="FFFFFF"/>
            <w:noWrap/>
            <w:vAlign w:val="bottom"/>
            <w:hideMark/>
          </w:tcPr>
          <w:p w14:paraId="4439B477" w14:textId="77777777" w:rsidR="00236517" w:rsidRPr="00B45328" w:rsidRDefault="00236517" w:rsidP="000F1A32">
            <w:pPr>
              <w:spacing w:after="0" w:line="240" w:lineRule="auto"/>
              <w:jc w:val="right"/>
              <w:rPr>
                <w:rFonts w:eastAsia="Times New Roman" w:cs="Times New Roman"/>
                <w:bCs/>
                <w:sz w:val="18"/>
              </w:rPr>
            </w:pPr>
            <w:r w:rsidRPr="00B45328">
              <w:rPr>
                <w:rFonts w:eastAsia="Times New Roman" w:cs="Times New Roman"/>
                <w:bCs/>
                <w:sz w:val="18"/>
              </w:rPr>
              <w:t>0.11</w:t>
            </w:r>
          </w:p>
        </w:tc>
        <w:tc>
          <w:tcPr>
            <w:tcW w:w="610" w:type="pct"/>
            <w:tcBorders>
              <w:top w:val="nil"/>
              <w:left w:val="nil"/>
              <w:bottom w:val="nil"/>
              <w:right w:val="nil"/>
            </w:tcBorders>
            <w:shd w:val="clear" w:color="000000" w:fill="FFFFFF"/>
            <w:noWrap/>
            <w:vAlign w:val="bottom"/>
            <w:hideMark/>
          </w:tcPr>
          <w:p w14:paraId="74CD0C9F" w14:textId="77777777" w:rsidR="00236517" w:rsidRPr="00B45328" w:rsidRDefault="00236517" w:rsidP="000F1A32">
            <w:pPr>
              <w:spacing w:after="0" w:line="240" w:lineRule="auto"/>
              <w:jc w:val="right"/>
              <w:rPr>
                <w:rFonts w:eastAsia="Times New Roman" w:cs="Times New Roman"/>
                <w:bCs/>
                <w:sz w:val="18"/>
              </w:rPr>
            </w:pPr>
            <w:r w:rsidRPr="00B45328">
              <w:rPr>
                <w:rFonts w:eastAsia="Times New Roman" w:cs="Times New Roman"/>
                <w:bCs/>
                <w:sz w:val="18"/>
              </w:rPr>
              <w:t>0.14</w:t>
            </w:r>
          </w:p>
        </w:tc>
        <w:tc>
          <w:tcPr>
            <w:tcW w:w="609" w:type="pct"/>
            <w:tcBorders>
              <w:top w:val="nil"/>
              <w:left w:val="nil"/>
              <w:bottom w:val="nil"/>
            </w:tcBorders>
            <w:shd w:val="clear" w:color="000000" w:fill="FFFFFF"/>
            <w:noWrap/>
            <w:vAlign w:val="bottom"/>
            <w:hideMark/>
          </w:tcPr>
          <w:p w14:paraId="796A3654" w14:textId="77777777" w:rsidR="00236517" w:rsidRPr="00B45328" w:rsidRDefault="00236517" w:rsidP="000F1A32">
            <w:pPr>
              <w:spacing w:after="0" w:line="240" w:lineRule="auto"/>
              <w:jc w:val="right"/>
              <w:rPr>
                <w:rFonts w:eastAsia="Times New Roman" w:cs="Times New Roman"/>
                <w:bCs/>
                <w:sz w:val="18"/>
              </w:rPr>
            </w:pPr>
            <w:r w:rsidRPr="00B45328">
              <w:rPr>
                <w:rFonts w:eastAsia="Times New Roman" w:cs="Times New Roman"/>
                <w:bCs/>
                <w:sz w:val="18"/>
              </w:rPr>
              <w:t>0.18</w:t>
            </w:r>
          </w:p>
        </w:tc>
      </w:tr>
      <w:tr w:rsidR="00C96BE0" w:rsidRPr="00B45328" w14:paraId="527DA6B7" w14:textId="77777777" w:rsidTr="00A47A70">
        <w:trPr>
          <w:trHeight w:val="20"/>
        </w:trPr>
        <w:tc>
          <w:tcPr>
            <w:tcW w:w="2139" w:type="pct"/>
            <w:tcBorders>
              <w:top w:val="nil"/>
              <w:bottom w:val="nil"/>
              <w:right w:val="nil"/>
            </w:tcBorders>
            <w:shd w:val="clear" w:color="000000" w:fill="FFFFFF"/>
            <w:noWrap/>
            <w:vAlign w:val="bottom"/>
            <w:hideMark/>
          </w:tcPr>
          <w:p w14:paraId="4947B997" w14:textId="77777777" w:rsidR="00C96BE0" w:rsidRPr="00B45328" w:rsidRDefault="00C96BE0" w:rsidP="000F1A32">
            <w:pPr>
              <w:spacing w:after="0" w:line="240" w:lineRule="auto"/>
              <w:ind w:firstLineChars="200" w:firstLine="360"/>
              <w:jc w:val="left"/>
              <w:rPr>
                <w:rFonts w:eastAsia="Times New Roman" w:cs="Times New Roman"/>
                <w:color w:val="000000"/>
                <w:sz w:val="18"/>
              </w:rPr>
            </w:pPr>
            <w:r w:rsidRPr="00B45328">
              <w:rPr>
                <w:rFonts w:eastAsia="Times New Roman" w:cs="Times New Roman"/>
                <w:color w:val="000000"/>
                <w:sz w:val="18"/>
              </w:rPr>
              <w:t>Jet</w:t>
            </w:r>
          </w:p>
        </w:tc>
        <w:tc>
          <w:tcPr>
            <w:tcW w:w="422" w:type="pct"/>
            <w:tcBorders>
              <w:top w:val="nil"/>
              <w:left w:val="single" w:sz="4" w:space="0" w:color="auto"/>
              <w:bottom w:val="nil"/>
              <w:right w:val="single" w:sz="4" w:space="0" w:color="auto"/>
            </w:tcBorders>
            <w:shd w:val="clear" w:color="000000" w:fill="FFFFFF"/>
            <w:noWrap/>
            <w:hideMark/>
          </w:tcPr>
          <w:p w14:paraId="5FA7A49A" w14:textId="3C70C63E" w:rsidR="00C96BE0" w:rsidRPr="00B45328" w:rsidRDefault="00C96BE0" w:rsidP="000F1A32">
            <w:pPr>
              <w:spacing w:after="0" w:line="240" w:lineRule="auto"/>
              <w:jc w:val="center"/>
              <w:rPr>
                <w:rFonts w:eastAsia="Times New Roman" w:cs="Times New Roman"/>
                <w:color w:val="000000"/>
                <w:sz w:val="18"/>
              </w:rPr>
            </w:pPr>
            <w:r w:rsidRPr="001E787A">
              <w:rPr>
                <w:rFonts w:eastAsia="Times New Roman" w:cs="Times New Roman"/>
                <w:color w:val="000000"/>
                <w:sz w:val="18"/>
              </w:rPr>
              <w:t>MJ</w:t>
            </w:r>
          </w:p>
        </w:tc>
        <w:tc>
          <w:tcPr>
            <w:tcW w:w="610" w:type="pct"/>
            <w:tcBorders>
              <w:top w:val="nil"/>
              <w:left w:val="nil"/>
              <w:bottom w:val="nil"/>
              <w:right w:val="nil"/>
            </w:tcBorders>
            <w:shd w:val="clear" w:color="000000" w:fill="FFFFFF"/>
            <w:noWrap/>
            <w:vAlign w:val="bottom"/>
            <w:hideMark/>
          </w:tcPr>
          <w:p w14:paraId="3D62A47A"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0.40</w:t>
            </w:r>
          </w:p>
        </w:tc>
        <w:tc>
          <w:tcPr>
            <w:tcW w:w="610" w:type="pct"/>
            <w:tcBorders>
              <w:top w:val="nil"/>
              <w:left w:val="nil"/>
              <w:bottom w:val="nil"/>
              <w:right w:val="nil"/>
            </w:tcBorders>
            <w:shd w:val="clear" w:color="000000" w:fill="FFFFFF"/>
            <w:noWrap/>
            <w:vAlign w:val="bottom"/>
            <w:hideMark/>
          </w:tcPr>
          <w:p w14:paraId="0C4CB1D1"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0.23</w:t>
            </w:r>
          </w:p>
        </w:tc>
        <w:tc>
          <w:tcPr>
            <w:tcW w:w="610" w:type="pct"/>
            <w:tcBorders>
              <w:top w:val="nil"/>
              <w:left w:val="nil"/>
              <w:bottom w:val="nil"/>
              <w:right w:val="nil"/>
            </w:tcBorders>
            <w:shd w:val="clear" w:color="000000" w:fill="FFFFFF"/>
            <w:noWrap/>
            <w:vAlign w:val="bottom"/>
            <w:hideMark/>
          </w:tcPr>
          <w:p w14:paraId="754E5C10"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0.31</w:t>
            </w:r>
          </w:p>
        </w:tc>
        <w:tc>
          <w:tcPr>
            <w:tcW w:w="609" w:type="pct"/>
            <w:tcBorders>
              <w:top w:val="nil"/>
              <w:left w:val="nil"/>
              <w:bottom w:val="nil"/>
            </w:tcBorders>
            <w:shd w:val="clear" w:color="000000" w:fill="FFFFFF"/>
            <w:noWrap/>
            <w:vAlign w:val="bottom"/>
            <w:hideMark/>
          </w:tcPr>
          <w:p w14:paraId="5A2EDA68"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0.38</w:t>
            </w:r>
          </w:p>
        </w:tc>
      </w:tr>
      <w:tr w:rsidR="00C96BE0" w:rsidRPr="00B45328" w14:paraId="19C86F4C" w14:textId="77777777" w:rsidTr="00A47A70">
        <w:trPr>
          <w:trHeight w:val="20"/>
        </w:trPr>
        <w:tc>
          <w:tcPr>
            <w:tcW w:w="2139" w:type="pct"/>
            <w:tcBorders>
              <w:top w:val="nil"/>
              <w:bottom w:val="nil"/>
              <w:right w:val="nil"/>
            </w:tcBorders>
            <w:shd w:val="clear" w:color="000000" w:fill="FFFFFF"/>
            <w:noWrap/>
            <w:vAlign w:val="bottom"/>
            <w:hideMark/>
          </w:tcPr>
          <w:p w14:paraId="397199A4" w14:textId="77777777" w:rsidR="00C96BE0" w:rsidRPr="00B45328" w:rsidRDefault="00C96BE0" w:rsidP="000F1A32">
            <w:pPr>
              <w:spacing w:after="0" w:line="240" w:lineRule="auto"/>
              <w:ind w:firstLineChars="200" w:firstLine="360"/>
              <w:jc w:val="left"/>
              <w:rPr>
                <w:rFonts w:eastAsia="Times New Roman" w:cs="Times New Roman"/>
                <w:color w:val="000000"/>
                <w:sz w:val="18"/>
              </w:rPr>
            </w:pPr>
            <w:r w:rsidRPr="00B45328">
              <w:rPr>
                <w:rFonts w:eastAsia="Times New Roman" w:cs="Times New Roman"/>
                <w:color w:val="000000"/>
                <w:sz w:val="18"/>
              </w:rPr>
              <w:t>Naphtha</w:t>
            </w:r>
          </w:p>
        </w:tc>
        <w:tc>
          <w:tcPr>
            <w:tcW w:w="422" w:type="pct"/>
            <w:tcBorders>
              <w:top w:val="nil"/>
              <w:left w:val="single" w:sz="4" w:space="0" w:color="auto"/>
              <w:bottom w:val="nil"/>
              <w:right w:val="single" w:sz="4" w:space="0" w:color="auto"/>
            </w:tcBorders>
            <w:shd w:val="clear" w:color="000000" w:fill="FFFFFF"/>
            <w:noWrap/>
            <w:hideMark/>
          </w:tcPr>
          <w:p w14:paraId="561FF647" w14:textId="2CE98371" w:rsidR="00C96BE0" w:rsidRPr="00B45328" w:rsidRDefault="00C96BE0" w:rsidP="000F1A32">
            <w:pPr>
              <w:spacing w:after="0" w:line="240" w:lineRule="auto"/>
              <w:jc w:val="center"/>
              <w:rPr>
                <w:rFonts w:eastAsia="Times New Roman" w:cs="Times New Roman"/>
                <w:color w:val="000000"/>
                <w:sz w:val="18"/>
              </w:rPr>
            </w:pPr>
            <w:r w:rsidRPr="001E787A">
              <w:rPr>
                <w:rFonts w:eastAsia="Times New Roman" w:cs="Times New Roman"/>
                <w:color w:val="000000"/>
                <w:sz w:val="18"/>
              </w:rPr>
              <w:t>MJ</w:t>
            </w:r>
          </w:p>
        </w:tc>
        <w:tc>
          <w:tcPr>
            <w:tcW w:w="610" w:type="pct"/>
            <w:tcBorders>
              <w:top w:val="nil"/>
              <w:left w:val="nil"/>
              <w:bottom w:val="nil"/>
              <w:right w:val="nil"/>
            </w:tcBorders>
            <w:shd w:val="clear" w:color="000000" w:fill="FFFFFF"/>
            <w:noWrap/>
            <w:vAlign w:val="bottom"/>
            <w:hideMark/>
          </w:tcPr>
          <w:p w14:paraId="2337E97F"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0.31</w:t>
            </w:r>
          </w:p>
        </w:tc>
        <w:tc>
          <w:tcPr>
            <w:tcW w:w="610" w:type="pct"/>
            <w:tcBorders>
              <w:top w:val="nil"/>
              <w:left w:val="nil"/>
              <w:bottom w:val="nil"/>
              <w:right w:val="nil"/>
            </w:tcBorders>
            <w:shd w:val="clear" w:color="000000" w:fill="FFFFFF"/>
            <w:noWrap/>
            <w:vAlign w:val="bottom"/>
            <w:hideMark/>
          </w:tcPr>
          <w:p w14:paraId="33056F99"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0.20</w:t>
            </w:r>
          </w:p>
        </w:tc>
        <w:tc>
          <w:tcPr>
            <w:tcW w:w="610" w:type="pct"/>
            <w:tcBorders>
              <w:top w:val="nil"/>
              <w:left w:val="nil"/>
              <w:bottom w:val="nil"/>
              <w:right w:val="nil"/>
            </w:tcBorders>
            <w:shd w:val="clear" w:color="000000" w:fill="FFFFFF"/>
            <w:noWrap/>
            <w:vAlign w:val="bottom"/>
            <w:hideMark/>
          </w:tcPr>
          <w:p w14:paraId="72971ED7"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0.27</w:t>
            </w:r>
          </w:p>
        </w:tc>
        <w:tc>
          <w:tcPr>
            <w:tcW w:w="609" w:type="pct"/>
            <w:tcBorders>
              <w:top w:val="nil"/>
              <w:left w:val="nil"/>
              <w:bottom w:val="nil"/>
            </w:tcBorders>
            <w:shd w:val="clear" w:color="000000" w:fill="FFFFFF"/>
            <w:noWrap/>
            <w:vAlign w:val="bottom"/>
            <w:hideMark/>
          </w:tcPr>
          <w:p w14:paraId="2A870B47"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0.33</w:t>
            </w:r>
          </w:p>
        </w:tc>
      </w:tr>
      <w:tr w:rsidR="00C96BE0" w:rsidRPr="00B45328" w14:paraId="56389246" w14:textId="77777777" w:rsidTr="00A47A70">
        <w:trPr>
          <w:trHeight w:val="20"/>
        </w:trPr>
        <w:tc>
          <w:tcPr>
            <w:tcW w:w="2139" w:type="pct"/>
            <w:tcBorders>
              <w:top w:val="nil"/>
              <w:bottom w:val="nil"/>
              <w:right w:val="nil"/>
            </w:tcBorders>
            <w:shd w:val="clear" w:color="000000" w:fill="FFFFFF"/>
            <w:noWrap/>
            <w:vAlign w:val="bottom"/>
            <w:hideMark/>
          </w:tcPr>
          <w:p w14:paraId="39627B8B" w14:textId="77777777" w:rsidR="00C96BE0" w:rsidRPr="00B45328" w:rsidRDefault="00C96BE0" w:rsidP="000F1A32">
            <w:pPr>
              <w:spacing w:after="0" w:line="240" w:lineRule="auto"/>
              <w:ind w:firstLineChars="200" w:firstLine="360"/>
              <w:jc w:val="left"/>
              <w:rPr>
                <w:rFonts w:eastAsia="Times New Roman" w:cs="Times New Roman"/>
                <w:color w:val="000000"/>
                <w:sz w:val="18"/>
              </w:rPr>
            </w:pPr>
            <w:r w:rsidRPr="00B45328">
              <w:rPr>
                <w:rFonts w:eastAsia="Times New Roman" w:cs="Times New Roman"/>
                <w:color w:val="000000"/>
                <w:sz w:val="18"/>
              </w:rPr>
              <w:t>Wax</w:t>
            </w:r>
          </w:p>
        </w:tc>
        <w:tc>
          <w:tcPr>
            <w:tcW w:w="422" w:type="pct"/>
            <w:tcBorders>
              <w:top w:val="nil"/>
              <w:left w:val="single" w:sz="4" w:space="0" w:color="auto"/>
              <w:bottom w:val="nil"/>
              <w:right w:val="single" w:sz="4" w:space="0" w:color="auto"/>
            </w:tcBorders>
            <w:shd w:val="clear" w:color="000000" w:fill="FFFFFF"/>
            <w:noWrap/>
            <w:hideMark/>
          </w:tcPr>
          <w:p w14:paraId="122A6189" w14:textId="42E2ABFD" w:rsidR="00C96BE0" w:rsidRPr="00B45328" w:rsidRDefault="00C96BE0" w:rsidP="000F1A32">
            <w:pPr>
              <w:spacing w:after="0" w:line="240" w:lineRule="auto"/>
              <w:jc w:val="center"/>
              <w:rPr>
                <w:rFonts w:eastAsia="Times New Roman" w:cs="Times New Roman"/>
                <w:color w:val="000000"/>
                <w:sz w:val="18"/>
              </w:rPr>
            </w:pPr>
            <w:r w:rsidRPr="001E787A">
              <w:rPr>
                <w:rFonts w:eastAsia="Times New Roman" w:cs="Times New Roman"/>
                <w:color w:val="000000"/>
                <w:sz w:val="18"/>
              </w:rPr>
              <w:t>MJ</w:t>
            </w:r>
          </w:p>
        </w:tc>
        <w:tc>
          <w:tcPr>
            <w:tcW w:w="610" w:type="pct"/>
            <w:tcBorders>
              <w:top w:val="nil"/>
              <w:left w:val="nil"/>
              <w:bottom w:val="nil"/>
              <w:right w:val="nil"/>
            </w:tcBorders>
            <w:shd w:val="clear" w:color="000000" w:fill="FFFFFF"/>
            <w:noWrap/>
            <w:vAlign w:val="bottom"/>
            <w:hideMark/>
          </w:tcPr>
          <w:p w14:paraId="7EEC76AB"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0.12</w:t>
            </w:r>
          </w:p>
        </w:tc>
        <w:tc>
          <w:tcPr>
            <w:tcW w:w="610" w:type="pct"/>
            <w:tcBorders>
              <w:top w:val="nil"/>
              <w:left w:val="nil"/>
              <w:bottom w:val="nil"/>
              <w:right w:val="nil"/>
            </w:tcBorders>
            <w:shd w:val="clear" w:color="000000" w:fill="FFFFFF"/>
            <w:noWrap/>
            <w:vAlign w:val="bottom"/>
            <w:hideMark/>
          </w:tcPr>
          <w:p w14:paraId="50917D46"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0.07</w:t>
            </w:r>
          </w:p>
        </w:tc>
        <w:tc>
          <w:tcPr>
            <w:tcW w:w="610" w:type="pct"/>
            <w:tcBorders>
              <w:top w:val="nil"/>
              <w:left w:val="nil"/>
              <w:bottom w:val="nil"/>
              <w:right w:val="nil"/>
            </w:tcBorders>
            <w:shd w:val="clear" w:color="000000" w:fill="FFFFFF"/>
            <w:noWrap/>
            <w:vAlign w:val="bottom"/>
            <w:hideMark/>
          </w:tcPr>
          <w:p w14:paraId="787FC9B5"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0.09</w:t>
            </w:r>
          </w:p>
        </w:tc>
        <w:tc>
          <w:tcPr>
            <w:tcW w:w="609" w:type="pct"/>
            <w:tcBorders>
              <w:top w:val="nil"/>
              <w:left w:val="nil"/>
              <w:bottom w:val="nil"/>
            </w:tcBorders>
            <w:shd w:val="clear" w:color="000000" w:fill="FFFFFF"/>
            <w:noWrap/>
            <w:vAlign w:val="bottom"/>
            <w:hideMark/>
          </w:tcPr>
          <w:p w14:paraId="596A1871"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0.11</w:t>
            </w:r>
          </w:p>
        </w:tc>
      </w:tr>
      <w:tr w:rsidR="00C96BE0" w:rsidRPr="00B45328" w14:paraId="024F7C8D" w14:textId="77777777" w:rsidTr="00463AFF">
        <w:trPr>
          <w:trHeight w:val="20"/>
        </w:trPr>
        <w:tc>
          <w:tcPr>
            <w:tcW w:w="2139" w:type="pct"/>
            <w:tcBorders>
              <w:top w:val="nil"/>
              <w:bottom w:val="single" w:sz="4" w:space="0" w:color="auto"/>
              <w:right w:val="nil"/>
            </w:tcBorders>
            <w:shd w:val="clear" w:color="000000" w:fill="FFFFFF"/>
            <w:noWrap/>
            <w:vAlign w:val="bottom"/>
            <w:hideMark/>
          </w:tcPr>
          <w:p w14:paraId="53C874E9" w14:textId="77777777" w:rsidR="00C96BE0" w:rsidRPr="00B45328" w:rsidRDefault="00C96BE0" w:rsidP="000F1A32">
            <w:pPr>
              <w:spacing w:after="0" w:line="240" w:lineRule="auto"/>
              <w:ind w:firstLineChars="200" w:firstLine="360"/>
              <w:jc w:val="left"/>
              <w:rPr>
                <w:rFonts w:eastAsia="Times New Roman" w:cs="Times New Roman"/>
                <w:color w:val="000000"/>
                <w:sz w:val="18"/>
              </w:rPr>
            </w:pPr>
            <w:r w:rsidRPr="00B45328">
              <w:rPr>
                <w:rFonts w:eastAsia="Times New Roman" w:cs="Times New Roman"/>
                <w:color w:val="000000"/>
                <w:sz w:val="18"/>
              </w:rPr>
              <w:t>Hydrogen</w:t>
            </w:r>
          </w:p>
        </w:tc>
        <w:tc>
          <w:tcPr>
            <w:tcW w:w="422" w:type="pct"/>
            <w:tcBorders>
              <w:top w:val="nil"/>
              <w:left w:val="single" w:sz="4" w:space="0" w:color="auto"/>
              <w:bottom w:val="single" w:sz="4" w:space="0" w:color="auto"/>
              <w:right w:val="single" w:sz="4" w:space="0" w:color="auto"/>
            </w:tcBorders>
            <w:shd w:val="clear" w:color="000000" w:fill="FFFFFF"/>
            <w:noWrap/>
            <w:hideMark/>
          </w:tcPr>
          <w:p w14:paraId="4C39F24C" w14:textId="29424358" w:rsidR="00C96BE0" w:rsidRPr="00B45328" w:rsidRDefault="00C96BE0" w:rsidP="000F1A32">
            <w:pPr>
              <w:spacing w:after="0" w:line="240" w:lineRule="auto"/>
              <w:jc w:val="center"/>
              <w:rPr>
                <w:rFonts w:eastAsia="Times New Roman" w:cs="Times New Roman"/>
                <w:color w:val="000000"/>
                <w:sz w:val="18"/>
              </w:rPr>
            </w:pPr>
            <w:r w:rsidRPr="001E787A">
              <w:rPr>
                <w:rFonts w:eastAsia="Times New Roman" w:cs="Times New Roman"/>
                <w:color w:val="000000"/>
                <w:sz w:val="18"/>
              </w:rPr>
              <w:t>MJ</w:t>
            </w:r>
          </w:p>
        </w:tc>
        <w:tc>
          <w:tcPr>
            <w:tcW w:w="610" w:type="pct"/>
            <w:tcBorders>
              <w:top w:val="nil"/>
              <w:left w:val="nil"/>
              <w:bottom w:val="single" w:sz="4" w:space="0" w:color="auto"/>
              <w:right w:val="nil"/>
            </w:tcBorders>
            <w:shd w:val="clear" w:color="000000" w:fill="FFFFFF"/>
            <w:noWrap/>
            <w:vAlign w:val="bottom"/>
            <w:hideMark/>
          </w:tcPr>
          <w:p w14:paraId="66113DC6"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0.00</w:t>
            </w:r>
          </w:p>
        </w:tc>
        <w:tc>
          <w:tcPr>
            <w:tcW w:w="610" w:type="pct"/>
            <w:tcBorders>
              <w:top w:val="nil"/>
              <w:left w:val="nil"/>
              <w:bottom w:val="single" w:sz="4" w:space="0" w:color="auto"/>
              <w:right w:val="nil"/>
            </w:tcBorders>
            <w:shd w:val="clear" w:color="000000" w:fill="FFFFFF"/>
            <w:noWrap/>
            <w:vAlign w:val="bottom"/>
            <w:hideMark/>
          </w:tcPr>
          <w:p w14:paraId="3E7BD1E9"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0.40</w:t>
            </w:r>
          </w:p>
        </w:tc>
        <w:tc>
          <w:tcPr>
            <w:tcW w:w="610" w:type="pct"/>
            <w:tcBorders>
              <w:top w:val="nil"/>
              <w:left w:val="nil"/>
              <w:bottom w:val="single" w:sz="4" w:space="0" w:color="auto"/>
              <w:right w:val="nil"/>
            </w:tcBorders>
            <w:shd w:val="clear" w:color="000000" w:fill="FFFFFF"/>
            <w:noWrap/>
            <w:vAlign w:val="bottom"/>
            <w:hideMark/>
          </w:tcPr>
          <w:p w14:paraId="2F30B096"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0.19</w:t>
            </w:r>
          </w:p>
        </w:tc>
        <w:tc>
          <w:tcPr>
            <w:tcW w:w="609" w:type="pct"/>
            <w:tcBorders>
              <w:top w:val="nil"/>
              <w:left w:val="nil"/>
              <w:bottom w:val="single" w:sz="4" w:space="0" w:color="auto"/>
            </w:tcBorders>
            <w:shd w:val="clear" w:color="000000" w:fill="FFFFFF"/>
            <w:noWrap/>
            <w:vAlign w:val="bottom"/>
            <w:hideMark/>
          </w:tcPr>
          <w:p w14:paraId="79F33544" w14:textId="77777777" w:rsidR="00C96BE0" w:rsidRPr="00B45328" w:rsidRDefault="00C96BE0" w:rsidP="000F1A32">
            <w:pPr>
              <w:spacing w:after="0" w:line="240" w:lineRule="auto"/>
              <w:jc w:val="right"/>
              <w:rPr>
                <w:rFonts w:eastAsia="Times New Roman" w:cs="Times New Roman"/>
                <w:bCs/>
                <w:sz w:val="18"/>
              </w:rPr>
            </w:pPr>
            <w:r w:rsidRPr="00B45328">
              <w:rPr>
                <w:rFonts w:eastAsia="Times New Roman" w:cs="Times New Roman"/>
                <w:bCs/>
                <w:sz w:val="18"/>
              </w:rPr>
              <w:t>0.00</w:t>
            </w:r>
          </w:p>
        </w:tc>
      </w:tr>
      <w:tr w:rsidR="00B45328" w:rsidRPr="00B45328" w14:paraId="43B4BDB5" w14:textId="77777777" w:rsidTr="00463AFF">
        <w:trPr>
          <w:trHeight w:val="20"/>
        </w:trPr>
        <w:tc>
          <w:tcPr>
            <w:tcW w:w="2139" w:type="pct"/>
            <w:tcBorders>
              <w:top w:val="single" w:sz="4" w:space="0" w:color="auto"/>
              <w:right w:val="nil"/>
            </w:tcBorders>
            <w:shd w:val="clear" w:color="000000" w:fill="FFFFFF"/>
            <w:noWrap/>
            <w:vAlign w:val="bottom"/>
            <w:hideMark/>
          </w:tcPr>
          <w:p w14:paraId="2E128409" w14:textId="77777777" w:rsidR="00B45328" w:rsidRPr="00B45328" w:rsidRDefault="00B45328" w:rsidP="000F1A32">
            <w:pPr>
              <w:spacing w:after="0" w:line="240" w:lineRule="auto"/>
              <w:jc w:val="left"/>
              <w:rPr>
                <w:rFonts w:eastAsia="Times New Roman" w:cs="Times New Roman"/>
                <w:b/>
                <w:color w:val="000000"/>
                <w:sz w:val="18"/>
              </w:rPr>
            </w:pPr>
            <w:r w:rsidRPr="00B45328">
              <w:rPr>
                <w:rFonts w:eastAsia="Times New Roman" w:cs="Times New Roman"/>
                <w:b/>
                <w:color w:val="000000"/>
                <w:sz w:val="18"/>
              </w:rPr>
              <w:t>Mass ratio</w:t>
            </w:r>
          </w:p>
        </w:tc>
        <w:tc>
          <w:tcPr>
            <w:tcW w:w="422" w:type="pct"/>
            <w:tcBorders>
              <w:top w:val="single" w:sz="4" w:space="0" w:color="auto"/>
              <w:left w:val="single" w:sz="4" w:space="0" w:color="auto"/>
              <w:right w:val="single" w:sz="4" w:space="0" w:color="auto"/>
            </w:tcBorders>
            <w:shd w:val="clear" w:color="000000" w:fill="FFFFFF"/>
            <w:noWrap/>
            <w:vAlign w:val="bottom"/>
            <w:hideMark/>
          </w:tcPr>
          <w:p w14:paraId="17600E76" w14:textId="77777777" w:rsidR="00B45328" w:rsidRPr="00B45328" w:rsidRDefault="00B45328" w:rsidP="000F1A32">
            <w:pPr>
              <w:spacing w:after="0" w:line="240" w:lineRule="auto"/>
              <w:jc w:val="center"/>
              <w:rPr>
                <w:rFonts w:eastAsia="Times New Roman" w:cs="Times New Roman"/>
                <w:color w:val="000000"/>
                <w:sz w:val="18"/>
              </w:rPr>
            </w:pPr>
            <w:r w:rsidRPr="00B45328">
              <w:rPr>
                <w:rFonts w:eastAsia="Times New Roman" w:cs="Times New Roman"/>
                <w:color w:val="000000"/>
                <w:sz w:val="18"/>
              </w:rPr>
              <w:t> </w:t>
            </w:r>
          </w:p>
        </w:tc>
        <w:tc>
          <w:tcPr>
            <w:tcW w:w="610" w:type="pct"/>
            <w:tcBorders>
              <w:top w:val="single" w:sz="4" w:space="0" w:color="auto"/>
              <w:left w:val="nil"/>
              <w:right w:val="nil"/>
            </w:tcBorders>
            <w:shd w:val="clear" w:color="000000" w:fill="FFFFFF"/>
            <w:noWrap/>
            <w:vAlign w:val="bottom"/>
            <w:hideMark/>
          </w:tcPr>
          <w:p w14:paraId="5B177964"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 </w:t>
            </w:r>
          </w:p>
        </w:tc>
        <w:tc>
          <w:tcPr>
            <w:tcW w:w="610" w:type="pct"/>
            <w:tcBorders>
              <w:top w:val="single" w:sz="4" w:space="0" w:color="auto"/>
              <w:left w:val="nil"/>
              <w:right w:val="nil"/>
            </w:tcBorders>
            <w:shd w:val="clear" w:color="000000" w:fill="FFFFFF"/>
            <w:noWrap/>
            <w:vAlign w:val="bottom"/>
            <w:hideMark/>
          </w:tcPr>
          <w:p w14:paraId="2E98D7D5"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 </w:t>
            </w:r>
          </w:p>
        </w:tc>
        <w:tc>
          <w:tcPr>
            <w:tcW w:w="610" w:type="pct"/>
            <w:tcBorders>
              <w:top w:val="single" w:sz="4" w:space="0" w:color="auto"/>
              <w:left w:val="nil"/>
              <w:right w:val="nil"/>
            </w:tcBorders>
            <w:shd w:val="clear" w:color="000000" w:fill="FFFFFF"/>
            <w:noWrap/>
            <w:vAlign w:val="bottom"/>
            <w:hideMark/>
          </w:tcPr>
          <w:p w14:paraId="389CCC70"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 </w:t>
            </w:r>
          </w:p>
        </w:tc>
        <w:tc>
          <w:tcPr>
            <w:tcW w:w="609" w:type="pct"/>
            <w:tcBorders>
              <w:top w:val="single" w:sz="4" w:space="0" w:color="auto"/>
              <w:left w:val="nil"/>
            </w:tcBorders>
            <w:shd w:val="clear" w:color="000000" w:fill="FFFFFF"/>
            <w:noWrap/>
            <w:vAlign w:val="bottom"/>
            <w:hideMark/>
          </w:tcPr>
          <w:p w14:paraId="725BB828"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 </w:t>
            </w:r>
          </w:p>
        </w:tc>
      </w:tr>
      <w:tr w:rsidR="00B45328" w:rsidRPr="00B45328" w14:paraId="3CAAF2AB" w14:textId="77777777" w:rsidTr="00463AFF">
        <w:trPr>
          <w:trHeight w:val="20"/>
        </w:trPr>
        <w:tc>
          <w:tcPr>
            <w:tcW w:w="2139" w:type="pct"/>
            <w:tcBorders>
              <w:right w:val="nil"/>
            </w:tcBorders>
            <w:shd w:val="clear" w:color="000000" w:fill="FFFFFF"/>
            <w:noWrap/>
            <w:vAlign w:val="bottom"/>
            <w:hideMark/>
          </w:tcPr>
          <w:p w14:paraId="07DEA73E"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Fossil</w:t>
            </w:r>
          </w:p>
        </w:tc>
        <w:tc>
          <w:tcPr>
            <w:tcW w:w="422" w:type="pct"/>
            <w:tcBorders>
              <w:left w:val="single" w:sz="4" w:space="0" w:color="auto"/>
              <w:right w:val="single" w:sz="4" w:space="0" w:color="auto"/>
            </w:tcBorders>
            <w:shd w:val="clear" w:color="000000" w:fill="FFFFFF"/>
            <w:noWrap/>
            <w:vAlign w:val="bottom"/>
            <w:hideMark/>
          </w:tcPr>
          <w:p w14:paraId="03C2AAE0" w14:textId="738E9E3C" w:rsidR="00B45328" w:rsidRPr="00B45328" w:rsidRDefault="00B45328" w:rsidP="000F1A32">
            <w:pPr>
              <w:spacing w:after="0" w:line="240" w:lineRule="auto"/>
              <w:jc w:val="center"/>
              <w:rPr>
                <w:rFonts w:eastAsia="Times New Roman" w:cs="Times New Roman"/>
                <w:color w:val="000000"/>
                <w:sz w:val="18"/>
              </w:rPr>
            </w:pPr>
            <w:r w:rsidRPr="00B45328">
              <w:rPr>
                <w:rFonts w:eastAsia="Times New Roman" w:cs="Times New Roman"/>
                <w:color w:val="000000"/>
                <w:sz w:val="18"/>
              </w:rPr>
              <w:t> </w:t>
            </w:r>
            <w:r>
              <w:rPr>
                <w:rFonts w:eastAsia="Times New Roman" w:cs="Times New Roman"/>
                <w:color w:val="000000"/>
                <w:sz w:val="18"/>
              </w:rPr>
              <w:t>%</w:t>
            </w:r>
          </w:p>
        </w:tc>
        <w:tc>
          <w:tcPr>
            <w:tcW w:w="610" w:type="pct"/>
            <w:tcBorders>
              <w:left w:val="nil"/>
              <w:right w:val="nil"/>
            </w:tcBorders>
            <w:shd w:val="clear" w:color="000000" w:fill="FFFFFF"/>
            <w:noWrap/>
            <w:vAlign w:val="bottom"/>
            <w:hideMark/>
          </w:tcPr>
          <w:p w14:paraId="5E221370"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w:t>
            </w:r>
          </w:p>
        </w:tc>
        <w:tc>
          <w:tcPr>
            <w:tcW w:w="610" w:type="pct"/>
            <w:tcBorders>
              <w:left w:val="nil"/>
              <w:right w:val="nil"/>
            </w:tcBorders>
            <w:shd w:val="clear" w:color="000000" w:fill="FFFFFF"/>
            <w:noWrap/>
            <w:vAlign w:val="bottom"/>
            <w:hideMark/>
          </w:tcPr>
          <w:p w14:paraId="5C509524"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100%</w:t>
            </w:r>
          </w:p>
        </w:tc>
        <w:tc>
          <w:tcPr>
            <w:tcW w:w="610" w:type="pct"/>
            <w:tcBorders>
              <w:left w:val="nil"/>
              <w:right w:val="nil"/>
            </w:tcBorders>
            <w:shd w:val="clear" w:color="000000" w:fill="FFFFFF"/>
            <w:noWrap/>
            <w:vAlign w:val="bottom"/>
            <w:hideMark/>
          </w:tcPr>
          <w:p w14:paraId="1A765DAC"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51%</w:t>
            </w:r>
          </w:p>
        </w:tc>
        <w:tc>
          <w:tcPr>
            <w:tcW w:w="609" w:type="pct"/>
            <w:tcBorders>
              <w:left w:val="nil"/>
            </w:tcBorders>
            <w:shd w:val="clear" w:color="000000" w:fill="FFFFFF"/>
            <w:noWrap/>
            <w:vAlign w:val="bottom"/>
            <w:hideMark/>
          </w:tcPr>
          <w:p w14:paraId="49F44FEC"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51%</w:t>
            </w:r>
          </w:p>
        </w:tc>
      </w:tr>
      <w:tr w:rsidR="00B45328" w:rsidRPr="00B45328" w14:paraId="1175BC2A" w14:textId="77777777" w:rsidTr="00B45328">
        <w:trPr>
          <w:trHeight w:val="20"/>
        </w:trPr>
        <w:tc>
          <w:tcPr>
            <w:tcW w:w="2139" w:type="pct"/>
            <w:tcBorders>
              <w:bottom w:val="single" w:sz="4" w:space="0" w:color="auto"/>
              <w:right w:val="nil"/>
            </w:tcBorders>
            <w:shd w:val="clear" w:color="000000" w:fill="FFFFFF"/>
            <w:noWrap/>
            <w:vAlign w:val="bottom"/>
            <w:hideMark/>
          </w:tcPr>
          <w:p w14:paraId="052C4D1C"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Biomass</w:t>
            </w:r>
          </w:p>
        </w:tc>
        <w:tc>
          <w:tcPr>
            <w:tcW w:w="422" w:type="pct"/>
            <w:tcBorders>
              <w:left w:val="single" w:sz="4" w:space="0" w:color="auto"/>
              <w:bottom w:val="single" w:sz="4" w:space="0" w:color="auto"/>
              <w:right w:val="single" w:sz="4" w:space="0" w:color="auto"/>
            </w:tcBorders>
            <w:shd w:val="clear" w:color="000000" w:fill="FFFFFF"/>
            <w:noWrap/>
            <w:vAlign w:val="bottom"/>
            <w:hideMark/>
          </w:tcPr>
          <w:p w14:paraId="0F96ED7D" w14:textId="5AB8949D" w:rsidR="00B45328" w:rsidRPr="00B45328" w:rsidRDefault="00B45328" w:rsidP="000F1A32">
            <w:pPr>
              <w:spacing w:after="0" w:line="240" w:lineRule="auto"/>
              <w:jc w:val="center"/>
              <w:rPr>
                <w:rFonts w:eastAsia="Times New Roman" w:cs="Times New Roman"/>
                <w:color w:val="000000"/>
                <w:sz w:val="18"/>
              </w:rPr>
            </w:pPr>
            <w:r w:rsidRPr="00B45328">
              <w:rPr>
                <w:rFonts w:eastAsia="Times New Roman" w:cs="Times New Roman"/>
                <w:color w:val="000000"/>
                <w:sz w:val="18"/>
              </w:rPr>
              <w:t> </w:t>
            </w:r>
            <w:r>
              <w:rPr>
                <w:rFonts w:eastAsia="Times New Roman" w:cs="Times New Roman"/>
                <w:color w:val="000000"/>
                <w:sz w:val="18"/>
              </w:rPr>
              <w:t>%</w:t>
            </w:r>
          </w:p>
        </w:tc>
        <w:tc>
          <w:tcPr>
            <w:tcW w:w="610" w:type="pct"/>
            <w:tcBorders>
              <w:left w:val="nil"/>
              <w:bottom w:val="single" w:sz="4" w:space="0" w:color="auto"/>
              <w:right w:val="nil"/>
            </w:tcBorders>
            <w:shd w:val="clear" w:color="000000" w:fill="FFFFFF"/>
            <w:noWrap/>
            <w:vAlign w:val="bottom"/>
            <w:hideMark/>
          </w:tcPr>
          <w:p w14:paraId="2C217E5F"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100%</w:t>
            </w:r>
          </w:p>
        </w:tc>
        <w:tc>
          <w:tcPr>
            <w:tcW w:w="610" w:type="pct"/>
            <w:tcBorders>
              <w:left w:val="nil"/>
              <w:bottom w:val="single" w:sz="4" w:space="0" w:color="auto"/>
              <w:right w:val="nil"/>
            </w:tcBorders>
            <w:shd w:val="clear" w:color="000000" w:fill="FFFFFF"/>
            <w:noWrap/>
            <w:vAlign w:val="bottom"/>
            <w:hideMark/>
          </w:tcPr>
          <w:p w14:paraId="1BF9D190"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0%</w:t>
            </w:r>
          </w:p>
        </w:tc>
        <w:tc>
          <w:tcPr>
            <w:tcW w:w="610" w:type="pct"/>
            <w:tcBorders>
              <w:left w:val="nil"/>
              <w:bottom w:val="single" w:sz="4" w:space="0" w:color="auto"/>
              <w:right w:val="nil"/>
            </w:tcBorders>
            <w:shd w:val="clear" w:color="000000" w:fill="FFFFFF"/>
            <w:noWrap/>
            <w:vAlign w:val="bottom"/>
            <w:hideMark/>
          </w:tcPr>
          <w:p w14:paraId="59E94CFD"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49%</w:t>
            </w:r>
          </w:p>
        </w:tc>
        <w:tc>
          <w:tcPr>
            <w:tcW w:w="609" w:type="pct"/>
            <w:tcBorders>
              <w:left w:val="nil"/>
              <w:bottom w:val="single" w:sz="4" w:space="0" w:color="auto"/>
            </w:tcBorders>
            <w:shd w:val="clear" w:color="000000" w:fill="FFFFFF"/>
            <w:noWrap/>
            <w:vAlign w:val="bottom"/>
            <w:hideMark/>
          </w:tcPr>
          <w:p w14:paraId="663B7148" w14:textId="77777777" w:rsidR="00B45328" w:rsidRPr="00B45328" w:rsidRDefault="00B45328" w:rsidP="000F1A32">
            <w:pPr>
              <w:spacing w:after="0" w:line="240" w:lineRule="auto"/>
              <w:jc w:val="right"/>
              <w:rPr>
                <w:rFonts w:eastAsia="Times New Roman" w:cs="Times New Roman"/>
                <w:color w:val="000000"/>
                <w:sz w:val="18"/>
              </w:rPr>
            </w:pPr>
            <w:r w:rsidRPr="00B45328">
              <w:rPr>
                <w:rFonts w:eastAsia="Times New Roman" w:cs="Times New Roman"/>
                <w:color w:val="000000"/>
                <w:sz w:val="18"/>
              </w:rPr>
              <w:t>49%</w:t>
            </w:r>
          </w:p>
        </w:tc>
      </w:tr>
    </w:tbl>
    <w:p w14:paraId="50AE8501" w14:textId="5E360621" w:rsidR="00236517" w:rsidRDefault="00236517" w:rsidP="000F1A32">
      <w:pPr>
        <w:spacing w:after="0" w:line="240" w:lineRule="auto"/>
      </w:pPr>
    </w:p>
    <w:p w14:paraId="5996061D" w14:textId="77777777" w:rsidR="00925343" w:rsidRPr="00236517" w:rsidRDefault="00925343" w:rsidP="000F1A32">
      <w:pPr>
        <w:spacing w:after="0" w:line="240" w:lineRule="auto"/>
      </w:pPr>
    </w:p>
    <w:p w14:paraId="1D8A3636" w14:textId="3F3885B7" w:rsidR="00236517" w:rsidRDefault="00520E6C" w:rsidP="00520E6C">
      <w:pPr>
        <w:pStyle w:val="Heading2"/>
      </w:pPr>
      <w:r>
        <w:t xml:space="preserve">Production of </w:t>
      </w:r>
      <w:r w:rsidR="00236517">
        <w:t xml:space="preserve">Pyrolysis </w:t>
      </w:r>
      <w:r w:rsidR="00693FBE">
        <w:t>O</w:t>
      </w:r>
      <w:r w:rsidR="00236517">
        <w:t>il</w:t>
      </w:r>
    </w:p>
    <w:p w14:paraId="0E0BB69F" w14:textId="1870ED5B" w:rsidR="005E6C45" w:rsidRDefault="006937B1" w:rsidP="0068644D">
      <w:pPr>
        <w:spacing w:after="0" w:line="240" w:lineRule="auto"/>
      </w:pPr>
      <w:r>
        <w:t>LCI</w:t>
      </w:r>
      <w:r w:rsidR="00834B97" w:rsidRPr="00834B97">
        <w:t xml:space="preserve"> data for bio-oil production via fast pyrolysis process are estimated based on the process modeling and simulation performed at PNNL</w:t>
      </w:r>
      <w:r w:rsidR="00B94C94">
        <w:t xml:space="preserve"> </w:t>
      </w:r>
      <w:r w:rsidR="00B94C94">
        <w:fldChar w:fldCharType="begin"/>
      </w:r>
      <w:r w:rsidR="00B94C94">
        <w:instrText xml:space="preserve"> ADDIN ZOTERO_ITEM CSL_CITATION {"citationID":"a11604rodmc","properties":{"formattedCitation":"[12]","plainCitation":"[12]","noteIndex":0},"citationItems":[{"id":454,"uris":["http://zotero.org/users/2367688/items/NJ39EDXK"],"uri":["http://zotero.org/users/2367688/items/NJ39EDXK"],"itemData":{"id":454,"type":"report","title":"Process design and economics for the conversion of lignocellulosic biomass to hydrocarbon fuels: fast pyrolysis and hydrotreating bio-oil pathway","publisher":"National Renewable Energy Laboratory (NREL), Golden, CO.","source":"Google Scholar","URL":"http://www.osti.gov/scitech/biblio/1126275","title-short":"Process design and economics for the conversion of lignocellulosic biomass to hydrocarbon fuels","author":[{"family":"Jones","given":"Susanne"},{"family":"Meyer","given":"P."},{"family":"Snowden-Swan","given":"L."},{"family":"Padmaperuma","given":"A."},{"family":"Tan","given":"Eric"},{"family":"Dutta","given":"Abhijit"},{"family":"Jacobson","given":"Jacob"},{"family":"Cafferty","given":"Kara"}],"issued":{"date-parts":[["2013"]]},"accessed":{"date-parts":[["2015",6,3]]}}}],"schema":"https://github.com/citation-style-language/schema/raw/master/csl-citation.json"} </w:instrText>
      </w:r>
      <w:r w:rsidR="00B94C94">
        <w:fldChar w:fldCharType="separate"/>
      </w:r>
      <w:r w:rsidR="00B94C94" w:rsidRPr="00403923">
        <w:rPr>
          <w:rFonts w:cs="Times New Roman"/>
        </w:rPr>
        <w:t>[12]</w:t>
      </w:r>
      <w:r w:rsidR="00B94C94">
        <w:fldChar w:fldCharType="end"/>
      </w:r>
      <w:r w:rsidR="00834B97" w:rsidRPr="00834B97">
        <w:t xml:space="preserve">. The bio-oil production is designed as </w:t>
      </w:r>
      <w:r w:rsidR="00834B97">
        <w:t xml:space="preserve">a </w:t>
      </w:r>
      <w:r w:rsidR="00834B97" w:rsidRPr="00834B97">
        <w:t xml:space="preserve">standalone process with a capacity of 2,000 </w:t>
      </w:r>
      <w:r w:rsidR="00834B97">
        <w:t xml:space="preserve">dry </w:t>
      </w:r>
      <w:r w:rsidR="00834B97" w:rsidRPr="00834B97">
        <w:t>metric tons</w:t>
      </w:r>
      <w:r w:rsidR="00834B97">
        <w:t xml:space="preserve"> </w:t>
      </w:r>
      <w:r w:rsidR="00834B97" w:rsidRPr="00834B97">
        <w:t xml:space="preserve">per day. </w:t>
      </w:r>
      <w:r w:rsidR="00834B97">
        <w:t>Woody b</w:t>
      </w:r>
      <w:r w:rsidR="00834B97" w:rsidRPr="00834B97">
        <w:t xml:space="preserve">iomass is sent to </w:t>
      </w:r>
      <w:r>
        <w:t>a</w:t>
      </w:r>
      <w:r w:rsidR="00834B97" w:rsidRPr="00834B97">
        <w:t xml:space="preserve"> dryer to reduce its moisture content from 30% to 10% before it is fed to a circulating fluidized bed pyrolyzer</w:t>
      </w:r>
      <w:r w:rsidR="00834B97">
        <w:t xml:space="preserve"> where h</w:t>
      </w:r>
      <w:r w:rsidR="00834B97" w:rsidRPr="00834B97">
        <w:t xml:space="preserve">ot sand is used as a heat carrier for endothermic fast pyrolysis reaction. Biomass is converted into a mixture of vapors and char within less than two seconds. The sand and char are subsequently separated from the vapors by a series of cyclones. The hot vapors are rapidly quenched in a two-stage system with previously condensed and cooled bio-oil and non-condensable gases are separated from the condensed bio-oil. In the first stage, most of the condensable products are removed using recirculated and indirect air-cooled bio-oil. The second stage operates at a lower temperature by indirect water cooling of the recirculating bio-oil. Most of the gases are recycled back to the pyrolysis reactor to assist fluidization. Char and a small portion of non-condensable gas are burned to heat the circulating sand. Hot flue gas from the char and gas burner is used to dry wet biomass. </w:t>
      </w:r>
      <w:r>
        <w:t>T</w:t>
      </w:r>
      <w:r w:rsidR="00834B97" w:rsidRPr="00834B97">
        <w:t xml:space="preserve">wo sets of LCI data </w:t>
      </w:r>
      <w:r>
        <w:t xml:space="preserve">are </w:t>
      </w:r>
      <w:r w:rsidR="00834B97" w:rsidRPr="00834B97">
        <w:t xml:space="preserve">generated based on ash content </w:t>
      </w:r>
      <w:r>
        <w:t>(0.9% and 1.9% by weight) of</w:t>
      </w:r>
      <w:r w:rsidRPr="00834B97">
        <w:t xml:space="preserve"> </w:t>
      </w:r>
      <w:r w:rsidR="00834B97" w:rsidRPr="00834B97">
        <w:t xml:space="preserve">the </w:t>
      </w:r>
      <w:r w:rsidR="00834B97" w:rsidRPr="00834B97">
        <w:lastRenderedPageBreak/>
        <w:t>feedstock. The assumptions of this process design, product compositions</w:t>
      </w:r>
      <w:r>
        <w:t>,</w:t>
      </w:r>
      <w:r w:rsidR="00834B97" w:rsidRPr="00834B97">
        <w:t xml:space="preserve"> and product yields can be found in </w:t>
      </w:r>
      <w:r>
        <w:t>the previous study</w:t>
      </w:r>
      <w:r w:rsidR="00834B97">
        <w:t xml:space="preserve"> </w:t>
      </w:r>
      <w:r w:rsidR="00834B97">
        <w:fldChar w:fldCharType="begin"/>
      </w:r>
      <w:r w:rsidR="00EE5180">
        <w:instrText xml:space="preserve"> ADDIN ZOTERO_ITEM CSL_CITATION {"citationID":"kZpPdM9i","properties":{"formattedCitation":"[12]","plainCitation":"[12]","noteIndex":0},"citationItems":[{"id":454,"uris":["http://zotero.org/users/2367688/items/NJ39EDXK"],"uri":["http://zotero.org/users/2367688/items/NJ39EDXK"],"itemData":{"id":454,"type":"report","title":"Process design and economics for the conversion of lignocellulosic biomass to hydrocarbon fuels: fast pyrolysis and hydrotreating bio-oil pathway","publisher":"National Renewable Energy Laboratory (NREL), Golden, CO.","source":"Google Scholar","URL":"http://www.osti.gov/scitech/biblio/1126275","title-short":"Process design and economics for the conversion of lignocellulosic biomass to hydrocarbon fuels","author":[{"family":"Jones","given":"Susanne"},{"family":"Meyer","given":"P."},{"family":"Snowden-Swan","given":"L."},{"family":"Padmaperuma","given":"A."},{"family":"Tan","given":"Eric"},{"family":"Dutta","given":"Abhijit"},{"family":"Jacobson","given":"Jacob"},{"family":"Cafferty","given":"Kara"}],"issued":{"date-parts":[["2013"]]},"accessed":{"date-parts":[["2015",6,3]]}}}],"schema":"https://github.com/citation-style-language/schema/raw/master/csl-citation.json"} </w:instrText>
      </w:r>
      <w:r w:rsidR="00834B97">
        <w:fldChar w:fldCharType="separate"/>
      </w:r>
      <w:r w:rsidR="00403923" w:rsidRPr="00403923">
        <w:rPr>
          <w:rFonts w:cs="Times New Roman"/>
        </w:rPr>
        <w:t>[12]</w:t>
      </w:r>
      <w:r w:rsidR="00834B97">
        <w:fldChar w:fldCharType="end"/>
      </w:r>
      <w:r w:rsidR="00834B97" w:rsidRPr="00834B97">
        <w:t>.</w:t>
      </w:r>
    </w:p>
    <w:p w14:paraId="0C322D79" w14:textId="77777777" w:rsidR="00520E6C" w:rsidRDefault="00520E6C" w:rsidP="00520E6C">
      <w:pPr>
        <w:spacing w:after="0" w:line="240" w:lineRule="auto"/>
      </w:pPr>
    </w:p>
    <w:p w14:paraId="4D5BD373" w14:textId="260B44BF" w:rsidR="00693FBE" w:rsidRDefault="00693FBE" w:rsidP="000F1A32">
      <w:pPr>
        <w:pStyle w:val="Caption"/>
        <w:spacing w:after="0"/>
      </w:pPr>
      <w:bookmarkStart w:id="4" w:name="_Ref17890887"/>
      <w:r>
        <w:t xml:space="preserve">Table </w:t>
      </w:r>
      <w:r w:rsidR="006D53AC">
        <w:rPr>
          <w:noProof/>
        </w:rPr>
        <w:fldChar w:fldCharType="begin"/>
      </w:r>
      <w:r w:rsidR="006D53AC">
        <w:rPr>
          <w:noProof/>
        </w:rPr>
        <w:instrText xml:space="preserve"> SEQ Table \* ARABIC </w:instrText>
      </w:r>
      <w:r w:rsidR="006D53AC">
        <w:rPr>
          <w:noProof/>
        </w:rPr>
        <w:fldChar w:fldCharType="separate"/>
      </w:r>
      <w:r w:rsidR="00AA250B">
        <w:rPr>
          <w:noProof/>
        </w:rPr>
        <w:t>3</w:t>
      </w:r>
      <w:r w:rsidR="006D53AC">
        <w:rPr>
          <w:noProof/>
        </w:rPr>
        <w:fldChar w:fldCharType="end"/>
      </w:r>
      <w:bookmarkEnd w:id="4"/>
      <w:r>
        <w:t>. Inputs and outputs of pyrolysis oil production using woody biomass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049"/>
        <w:gridCol w:w="1095"/>
        <w:gridCol w:w="2295"/>
        <w:gridCol w:w="1921"/>
      </w:tblGrid>
      <w:tr w:rsidR="005E6C45" w:rsidRPr="005E6C45" w14:paraId="6B5BE45E" w14:textId="77777777" w:rsidTr="00E873DB">
        <w:trPr>
          <w:trHeight w:val="20"/>
        </w:trPr>
        <w:tc>
          <w:tcPr>
            <w:tcW w:w="2096" w:type="pct"/>
            <w:tcBorders>
              <w:bottom w:val="single" w:sz="4" w:space="0" w:color="auto"/>
            </w:tcBorders>
            <w:noWrap/>
            <w:hideMark/>
          </w:tcPr>
          <w:p w14:paraId="49735F5B" w14:textId="77777777" w:rsidR="005E6C45" w:rsidRPr="005E6C45" w:rsidRDefault="005E6C45" w:rsidP="000F1A32">
            <w:pPr>
              <w:jc w:val="left"/>
              <w:rPr>
                <w:rFonts w:eastAsia="Times New Roman" w:cs="Times New Roman"/>
                <w:sz w:val="18"/>
                <w:szCs w:val="24"/>
              </w:rPr>
            </w:pPr>
          </w:p>
        </w:tc>
        <w:tc>
          <w:tcPr>
            <w:tcW w:w="585" w:type="pct"/>
            <w:tcBorders>
              <w:bottom w:val="single" w:sz="4" w:space="0" w:color="auto"/>
            </w:tcBorders>
            <w:noWrap/>
            <w:hideMark/>
          </w:tcPr>
          <w:p w14:paraId="6A1E0763" w14:textId="3A1D80A4" w:rsidR="005E6C45" w:rsidRPr="005E6C45" w:rsidRDefault="00463AFF" w:rsidP="000F1A32">
            <w:pPr>
              <w:jc w:val="center"/>
              <w:rPr>
                <w:rFonts w:eastAsia="Times New Roman" w:cs="Times New Roman"/>
                <w:sz w:val="18"/>
                <w:szCs w:val="20"/>
              </w:rPr>
            </w:pPr>
            <w:r>
              <w:rPr>
                <w:rFonts w:eastAsia="Times New Roman" w:cs="Times New Roman"/>
                <w:sz w:val="18"/>
                <w:szCs w:val="20"/>
              </w:rPr>
              <w:t>Units</w:t>
            </w:r>
          </w:p>
        </w:tc>
        <w:tc>
          <w:tcPr>
            <w:tcW w:w="1159" w:type="pct"/>
            <w:tcBorders>
              <w:bottom w:val="single" w:sz="4" w:space="0" w:color="auto"/>
            </w:tcBorders>
            <w:hideMark/>
          </w:tcPr>
          <w:p w14:paraId="4B6AA387" w14:textId="436DFDCA" w:rsidR="005E6C45" w:rsidRPr="005E6C45" w:rsidRDefault="005E6C45" w:rsidP="000F1A32">
            <w:pPr>
              <w:jc w:val="center"/>
              <w:rPr>
                <w:rFonts w:eastAsia="Times New Roman" w:cs="Times New Roman"/>
                <w:b/>
                <w:bCs/>
                <w:sz w:val="18"/>
              </w:rPr>
            </w:pPr>
            <w:r w:rsidRPr="00463AFF">
              <w:rPr>
                <w:rFonts w:cs="Times New Roman"/>
                <w:b/>
                <w:bCs/>
                <w:sz w:val="18"/>
              </w:rPr>
              <w:t>Low ash-feedstock case</w:t>
            </w:r>
          </w:p>
        </w:tc>
        <w:tc>
          <w:tcPr>
            <w:tcW w:w="1160" w:type="pct"/>
            <w:tcBorders>
              <w:bottom w:val="single" w:sz="4" w:space="0" w:color="auto"/>
            </w:tcBorders>
            <w:hideMark/>
          </w:tcPr>
          <w:p w14:paraId="55103F5E" w14:textId="48DD201C" w:rsidR="005E6C45" w:rsidRPr="005E6C45" w:rsidRDefault="005E6C45" w:rsidP="000F1A32">
            <w:pPr>
              <w:jc w:val="center"/>
              <w:rPr>
                <w:rFonts w:eastAsia="Times New Roman" w:cs="Times New Roman"/>
                <w:b/>
                <w:bCs/>
                <w:sz w:val="18"/>
              </w:rPr>
            </w:pPr>
            <w:r w:rsidRPr="00463AFF">
              <w:rPr>
                <w:rFonts w:cs="Times New Roman"/>
                <w:b/>
                <w:bCs/>
                <w:sz w:val="18"/>
              </w:rPr>
              <w:t>High ash-feedstock case</w:t>
            </w:r>
          </w:p>
        </w:tc>
      </w:tr>
      <w:tr w:rsidR="005E6C45" w:rsidRPr="005E6C45" w14:paraId="14BBE566" w14:textId="77777777" w:rsidTr="00463AFF">
        <w:trPr>
          <w:trHeight w:val="20"/>
        </w:trPr>
        <w:tc>
          <w:tcPr>
            <w:tcW w:w="2163" w:type="pct"/>
            <w:tcBorders>
              <w:bottom w:val="nil"/>
            </w:tcBorders>
            <w:noWrap/>
            <w:hideMark/>
          </w:tcPr>
          <w:p w14:paraId="3F54E794" w14:textId="77777777" w:rsidR="005E6C45" w:rsidRPr="005E6C45" w:rsidRDefault="005E6C45" w:rsidP="000F1A32">
            <w:pPr>
              <w:jc w:val="left"/>
              <w:rPr>
                <w:rFonts w:eastAsia="Times New Roman" w:cs="Times New Roman"/>
                <w:b/>
                <w:bCs/>
                <w:color w:val="000000"/>
                <w:sz w:val="18"/>
              </w:rPr>
            </w:pPr>
            <w:r w:rsidRPr="005E6C45">
              <w:rPr>
                <w:rFonts w:eastAsia="Times New Roman" w:cs="Times New Roman"/>
                <w:b/>
                <w:bCs/>
                <w:color w:val="000000"/>
                <w:sz w:val="18"/>
              </w:rPr>
              <w:t>Inputs</w:t>
            </w:r>
          </w:p>
        </w:tc>
        <w:tc>
          <w:tcPr>
            <w:tcW w:w="385" w:type="pct"/>
            <w:tcBorders>
              <w:bottom w:val="nil"/>
            </w:tcBorders>
            <w:noWrap/>
            <w:hideMark/>
          </w:tcPr>
          <w:p w14:paraId="3744F54E" w14:textId="77777777" w:rsidR="005E6C45" w:rsidRPr="005E6C45" w:rsidRDefault="005E6C45" w:rsidP="000F1A32">
            <w:pPr>
              <w:jc w:val="center"/>
              <w:rPr>
                <w:rFonts w:eastAsia="Times New Roman" w:cs="Times New Roman"/>
                <w:b/>
                <w:bCs/>
                <w:color w:val="000000"/>
                <w:sz w:val="18"/>
              </w:rPr>
            </w:pPr>
          </w:p>
        </w:tc>
        <w:tc>
          <w:tcPr>
            <w:tcW w:w="1226" w:type="pct"/>
            <w:tcBorders>
              <w:bottom w:val="nil"/>
            </w:tcBorders>
            <w:noWrap/>
            <w:hideMark/>
          </w:tcPr>
          <w:p w14:paraId="2C9F5BA3" w14:textId="77777777" w:rsidR="005E6C45" w:rsidRPr="005E6C45" w:rsidRDefault="005E6C45" w:rsidP="000F1A32">
            <w:pPr>
              <w:jc w:val="left"/>
              <w:rPr>
                <w:rFonts w:eastAsia="Times New Roman" w:cs="Times New Roman"/>
                <w:sz w:val="18"/>
                <w:szCs w:val="20"/>
              </w:rPr>
            </w:pPr>
          </w:p>
        </w:tc>
        <w:tc>
          <w:tcPr>
            <w:tcW w:w="1226" w:type="pct"/>
            <w:tcBorders>
              <w:bottom w:val="nil"/>
            </w:tcBorders>
            <w:noWrap/>
            <w:hideMark/>
          </w:tcPr>
          <w:p w14:paraId="788B5800" w14:textId="77777777" w:rsidR="005E6C45" w:rsidRPr="005E6C45" w:rsidRDefault="005E6C45" w:rsidP="000F1A32">
            <w:pPr>
              <w:jc w:val="left"/>
              <w:rPr>
                <w:rFonts w:eastAsia="Times New Roman" w:cs="Times New Roman"/>
                <w:color w:val="000000"/>
                <w:sz w:val="18"/>
              </w:rPr>
            </w:pPr>
            <w:r w:rsidRPr="005E6C45">
              <w:rPr>
                <w:rFonts w:eastAsia="Times New Roman" w:cs="Times New Roman"/>
                <w:color w:val="000000"/>
                <w:sz w:val="18"/>
              </w:rPr>
              <w:t> </w:t>
            </w:r>
          </w:p>
        </w:tc>
      </w:tr>
      <w:tr w:rsidR="00E873DB" w:rsidRPr="005E6C45" w14:paraId="0FCA8873" w14:textId="77777777" w:rsidTr="00E873DB">
        <w:trPr>
          <w:trHeight w:val="20"/>
        </w:trPr>
        <w:tc>
          <w:tcPr>
            <w:tcW w:w="2163" w:type="pct"/>
            <w:vMerge w:val="restart"/>
            <w:tcBorders>
              <w:top w:val="nil"/>
            </w:tcBorders>
            <w:noWrap/>
            <w:vAlign w:val="center"/>
            <w:hideMark/>
          </w:tcPr>
          <w:p w14:paraId="075C3507" w14:textId="66A06E40" w:rsidR="00E873DB" w:rsidRPr="005E6C45" w:rsidRDefault="00E873DB" w:rsidP="000F1A32">
            <w:pPr>
              <w:jc w:val="right"/>
              <w:rPr>
                <w:rFonts w:eastAsia="Times New Roman" w:cs="Times New Roman"/>
                <w:color w:val="000000"/>
                <w:sz w:val="18"/>
              </w:rPr>
            </w:pPr>
            <w:r>
              <w:rPr>
                <w:rFonts w:eastAsia="Times New Roman" w:cs="Times New Roman"/>
                <w:color w:val="000000"/>
                <w:sz w:val="18"/>
              </w:rPr>
              <w:t>Feedstock (Woody biomass)</w:t>
            </w:r>
          </w:p>
        </w:tc>
        <w:tc>
          <w:tcPr>
            <w:tcW w:w="385" w:type="pct"/>
            <w:tcBorders>
              <w:top w:val="nil"/>
              <w:bottom w:val="nil"/>
            </w:tcBorders>
            <w:noWrap/>
            <w:hideMark/>
          </w:tcPr>
          <w:p w14:paraId="776AFF24" w14:textId="6127AECC" w:rsidR="00E873DB" w:rsidRPr="005E6C45" w:rsidRDefault="00E873DB" w:rsidP="000F1A32">
            <w:pPr>
              <w:jc w:val="center"/>
              <w:rPr>
                <w:rFonts w:eastAsia="Times New Roman" w:cs="Times New Roman"/>
                <w:color w:val="000000"/>
                <w:sz w:val="18"/>
              </w:rPr>
            </w:pPr>
            <w:r w:rsidRPr="005E6C45">
              <w:rPr>
                <w:rFonts w:eastAsia="Times New Roman" w:cs="Times New Roman"/>
                <w:color w:val="000000"/>
                <w:sz w:val="18"/>
              </w:rPr>
              <w:t>MJ</w:t>
            </w:r>
          </w:p>
        </w:tc>
        <w:tc>
          <w:tcPr>
            <w:tcW w:w="1226" w:type="pct"/>
            <w:tcBorders>
              <w:top w:val="nil"/>
              <w:bottom w:val="nil"/>
            </w:tcBorders>
            <w:noWrap/>
            <w:hideMark/>
          </w:tcPr>
          <w:p w14:paraId="2F73B39C" w14:textId="77777777" w:rsidR="00E873DB" w:rsidRPr="005E6C45" w:rsidRDefault="00E873DB" w:rsidP="000F1A32">
            <w:pPr>
              <w:ind w:right="657"/>
              <w:jc w:val="right"/>
              <w:rPr>
                <w:rFonts w:eastAsia="Times New Roman" w:cs="Times New Roman"/>
                <w:color w:val="000000"/>
                <w:sz w:val="18"/>
              </w:rPr>
            </w:pPr>
            <w:r w:rsidRPr="005E6C45">
              <w:rPr>
                <w:rFonts w:eastAsia="Times New Roman" w:cs="Times New Roman"/>
                <w:color w:val="000000"/>
                <w:sz w:val="18"/>
              </w:rPr>
              <w:t>1.49</w:t>
            </w:r>
          </w:p>
        </w:tc>
        <w:tc>
          <w:tcPr>
            <w:tcW w:w="1226" w:type="pct"/>
            <w:tcBorders>
              <w:top w:val="nil"/>
              <w:bottom w:val="nil"/>
            </w:tcBorders>
            <w:noWrap/>
            <w:hideMark/>
          </w:tcPr>
          <w:p w14:paraId="04BE3381" w14:textId="77777777" w:rsidR="00E873DB" w:rsidRPr="005E6C45" w:rsidRDefault="00E873DB" w:rsidP="000F1A32">
            <w:pPr>
              <w:ind w:right="657"/>
              <w:jc w:val="right"/>
              <w:rPr>
                <w:rFonts w:eastAsia="Times New Roman" w:cs="Times New Roman"/>
                <w:color w:val="000000"/>
                <w:sz w:val="18"/>
              </w:rPr>
            </w:pPr>
            <w:r w:rsidRPr="005E6C45">
              <w:rPr>
                <w:rFonts w:eastAsia="Times New Roman" w:cs="Times New Roman"/>
                <w:color w:val="000000"/>
                <w:sz w:val="18"/>
              </w:rPr>
              <w:t>1.61</w:t>
            </w:r>
          </w:p>
        </w:tc>
      </w:tr>
      <w:tr w:rsidR="00E873DB" w:rsidRPr="005E6C45" w14:paraId="3E827CE8" w14:textId="77777777" w:rsidTr="00E873DB">
        <w:trPr>
          <w:trHeight w:val="20"/>
        </w:trPr>
        <w:tc>
          <w:tcPr>
            <w:tcW w:w="2096" w:type="pct"/>
            <w:vMerge/>
            <w:tcBorders>
              <w:bottom w:val="nil"/>
            </w:tcBorders>
            <w:noWrap/>
          </w:tcPr>
          <w:p w14:paraId="6FA4EFC4" w14:textId="77777777" w:rsidR="00E873DB" w:rsidRDefault="00E873DB" w:rsidP="000F1A32">
            <w:pPr>
              <w:jc w:val="right"/>
              <w:rPr>
                <w:rFonts w:eastAsia="Times New Roman" w:cs="Times New Roman"/>
                <w:color w:val="000000"/>
                <w:sz w:val="18"/>
              </w:rPr>
            </w:pPr>
          </w:p>
        </w:tc>
        <w:tc>
          <w:tcPr>
            <w:tcW w:w="585" w:type="pct"/>
            <w:tcBorders>
              <w:top w:val="nil"/>
              <w:bottom w:val="nil"/>
            </w:tcBorders>
            <w:noWrap/>
          </w:tcPr>
          <w:p w14:paraId="258F1B41" w14:textId="44933DCA" w:rsidR="00E873DB" w:rsidRPr="005E6C45" w:rsidRDefault="00E873DB" w:rsidP="000F1A32">
            <w:pPr>
              <w:jc w:val="center"/>
              <w:rPr>
                <w:rFonts w:eastAsia="Times New Roman" w:cs="Times New Roman"/>
                <w:color w:val="000000"/>
                <w:sz w:val="18"/>
              </w:rPr>
            </w:pPr>
            <w:r>
              <w:rPr>
                <w:rFonts w:eastAsia="Times New Roman" w:cs="Times New Roman"/>
                <w:color w:val="000000"/>
                <w:sz w:val="18"/>
              </w:rPr>
              <w:t>g</w:t>
            </w:r>
          </w:p>
        </w:tc>
        <w:tc>
          <w:tcPr>
            <w:tcW w:w="1159" w:type="pct"/>
            <w:tcBorders>
              <w:top w:val="nil"/>
              <w:bottom w:val="nil"/>
            </w:tcBorders>
            <w:noWrap/>
          </w:tcPr>
          <w:p w14:paraId="7E155990" w14:textId="5298C334" w:rsidR="00E873DB" w:rsidRPr="005E6C45" w:rsidRDefault="00E873DB" w:rsidP="000F1A32">
            <w:pPr>
              <w:ind w:right="657"/>
              <w:jc w:val="right"/>
              <w:rPr>
                <w:rFonts w:eastAsia="Times New Roman" w:cs="Times New Roman"/>
                <w:color w:val="000000"/>
                <w:sz w:val="18"/>
              </w:rPr>
            </w:pPr>
            <w:r>
              <w:rPr>
                <w:rFonts w:eastAsia="Times New Roman" w:cs="Times New Roman"/>
                <w:color w:val="000000"/>
                <w:sz w:val="18"/>
              </w:rPr>
              <w:t>80.7</w:t>
            </w:r>
          </w:p>
        </w:tc>
        <w:tc>
          <w:tcPr>
            <w:tcW w:w="1160" w:type="pct"/>
            <w:tcBorders>
              <w:top w:val="nil"/>
              <w:bottom w:val="nil"/>
            </w:tcBorders>
            <w:noWrap/>
          </w:tcPr>
          <w:p w14:paraId="1419D80F" w14:textId="36B951A3" w:rsidR="00E873DB" w:rsidRPr="005E6C45" w:rsidRDefault="00E873DB" w:rsidP="000F1A32">
            <w:pPr>
              <w:ind w:right="657"/>
              <w:jc w:val="right"/>
              <w:rPr>
                <w:rFonts w:eastAsia="Times New Roman" w:cs="Times New Roman"/>
                <w:color w:val="000000"/>
                <w:sz w:val="18"/>
              </w:rPr>
            </w:pPr>
            <w:r>
              <w:rPr>
                <w:rFonts w:eastAsia="Times New Roman" w:cs="Times New Roman"/>
                <w:color w:val="000000"/>
                <w:sz w:val="18"/>
              </w:rPr>
              <w:t>88.0</w:t>
            </w:r>
          </w:p>
        </w:tc>
      </w:tr>
      <w:tr w:rsidR="005E6C45" w:rsidRPr="005E6C45" w14:paraId="5BD28967" w14:textId="77777777" w:rsidTr="00E873DB">
        <w:trPr>
          <w:trHeight w:val="20"/>
        </w:trPr>
        <w:tc>
          <w:tcPr>
            <w:tcW w:w="2096" w:type="pct"/>
            <w:tcBorders>
              <w:top w:val="nil"/>
              <w:bottom w:val="nil"/>
            </w:tcBorders>
            <w:noWrap/>
            <w:hideMark/>
          </w:tcPr>
          <w:p w14:paraId="67E15A2C" w14:textId="77777777" w:rsidR="005E6C45" w:rsidRPr="005E6C45" w:rsidRDefault="005E6C45" w:rsidP="000F1A32">
            <w:pPr>
              <w:jc w:val="right"/>
              <w:rPr>
                <w:rFonts w:eastAsia="Times New Roman" w:cs="Times New Roman"/>
                <w:color w:val="000000"/>
                <w:sz w:val="18"/>
              </w:rPr>
            </w:pPr>
            <w:r w:rsidRPr="005E6C45">
              <w:rPr>
                <w:rFonts w:eastAsia="Times New Roman" w:cs="Times New Roman"/>
                <w:color w:val="000000"/>
                <w:sz w:val="18"/>
              </w:rPr>
              <w:t>Electricity</w:t>
            </w:r>
          </w:p>
        </w:tc>
        <w:tc>
          <w:tcPr>
            <w:tcW w:w="585" w:type="pct"/>
            <w:tcBorders>
              <w:top w:val="nil"/>
              <w:bottom w:val="nil"/>
            </w:tcBorders>
            <w:noWrap/>
            <w:hideMark/>
          </w:tcPr>
          <w:p w14:paraId="4B4D453E" w14:textId="60409FD3" w:rsidR="005E6C45" w:rsidRPr="005E6C45" w:rsidRDefault="005E6C45" w:rsidP="000F1A32">
            <w:pPr>
              <w:jc w:val="center"/>
              <w:rPr>
                <w:rFonts w:eastAsia="Times New Roman" w:cs="Times New Roman"/>
                <w:color w:val="000000"/>
                <w:sz w:val="18"/>
              </w:rPr>
            </w:pPr>
            <w:r w:rsidRPr="005E6C45">
              <w:rPr>
                <w:rFonts w:eastAsia="Times New Roman" w:cs="Times New Roman"/>
                <w:color w:val="000000"/>
                <w:sz w:val="18"/>
              </w:rPr>
              <w:t>J</w:t>
            </w:r>
          </w:p>
        </w:tc>
        <w:tc>
          <w:tcPr>
            <w:tcW w:w="1159" w:type="pct"/>
            <w:tcBorders>
              <w:top w:val="nil"/>
              <w:bottom w:val="nil"/>
            </w:tcBorders>
            <w:noWrap/>
            <w:hideMark/>
          </w:tcPr>
          <w:p w14:paraId="60F1EFC7" w14:textId="77777777" w:rsidR="005E6C45" w:rsidRPr="005E6C45" w:rsidRDefault="005E6C45" w:rsidP="000F1A32">
            <w:pPr>
              <w:ind w:right="657"/>
              <w:jc w:val="right"/>
              <w:rPr>
                <w:rFonts w:eastAsia="Times New Roman" w:cs="Times New Roman"/>
                <w:color w:val="000000"/>
                <w:sz w:val="18"/>
              </w:rPr>
            </w:pPr>
            <w:r w:rsidRPr="005E6C45">
              <w:rPr>
                <w:rFonts w:eastAsia="Times New Roman" w:cs="Times New Roman"/>
                <w:color w:val="000000"/>
                <w:sz w:val="18"/>
              </w:rPr>
              <w:t>31,062</w:t>
            </w:r>
          </w:p>
        </w:tc>
        <w:tc>
          <w:tcPr>
            <w:tcW w:w="1160" w:type="pct"/>
            <w:tcBorders>
              <w:top w:val="nil"/>
              <w:bottom w:val="nil"/>
            </w:tcBorders>
            <w:noWrap/>
            <w:hideMark/>
          </w:tcPr>
          <w:p w14:paraId="3C88813B" w14:textId="77777777" w:rsidR="005E6C45" w:rsidRPr="005E6C45" w:rsidRDefault="005E6C45" w:rsidP="000F1A32">
            <w:pPr>
              <w:ind w:right="657"/>
              <w:jc w:val="right"/>
              <w:rPr>
                <w:rFonts w:eastAsia="Times New Roman" w:cs="Times New Roman"/>
                <w:color w:val="000000"/>
                <w:sz w:val="18"/>
              </w:rPr>
            </w:pPr>
            <w:r w:rsidRPr="005E6C45">
              <w:rPr>
                <w:rFonts w:eastAsia="Times New Roman" w:cs="Times New Roman"/>
                <w:color w:val="000000"/>
                <w:sz w:val="18"/>
              </w:rPr>
              <w:t>42,788</w:t>
            </w:r>
          </w:p>
        </w:tc>
      </w:tr>
      <w:tr w:rsidR="005E6C45" w:rsidRPr="005E6C45" w14:paraId="2915030B" w14:textId="77777777" w:rsidTr="00E873DB">
        <w:trPr>
          <w:trHeight w:val="20"/>
        </w:trPr>
        <w:tc>
          <w:tcPr>
            <w:tcW w:w="2096" w:type="pct"/>
            <w:tcBorders>
              <w:top w:val="nil"/>
              <w:bottom w:val="single" w:sz="4" w:space="0" w:color="auto"/>
            </w:tcBorders>
            <w:noWrap/>
            <w:hideMark/>
          </w:tcPr>
          <w:p w14:paraId="36EE0D82" w14:textId="77777777" w:rsidR="005E6C45" w:rsidRPr="005E6C45" w:rsidRDefault="005E6C45" w:rsidP="000F1A32">
            <w:pPr>
              <w:jc w:val="right"/>
              <w:rPr>
                <w:rFonts w:eastAsia="Times New Roman" w:cs="Times New Roman"/>
                <w:color w:val="000000"/>
                <w:sz w:val="18"/>
              </w:rPr>
            </w:pPr>
            <w:r w:rsidRPr="005E6C45">
              <w:rPr>
                <w:rFonts w:eastAsia="Times New Roman" w:cs="Times New Roman"/>
                <w:color w:val="000000"/>
                <w:sz w:val="18"/>
              </w:rPr>
              <w:t>Cooling tower chemicals</w:t>
            </w:r>
          </w:p>
        </w:tc>
        <w:tc>
          <w:tcPr>
            <w:tcW w:w="585" w:type="pct"/>
            <w:tcBorders>
              <w:top w:val="nil"/>
              <w:bottom w:val="single" w:sz="4" w:space="0" w:color="auto"/>
            </w:tcBorders>
            <w:noWrap/>
            <w:hideMark/>
          </w:tcPr>
          <w:p w14:paraId="65890CF1" w14:textId="71C21252" w:rsidR="005E6C45" w:rsidRPr="005E6C45" w:rsidRDefault="005E6C45" w:rsidP="000F1A32">
            <w:pPr>
              <w:jc w:val="center"/>
              <w:rPr>
                <w:rFonts w:eastAsia="Times New Roman" w:cs="Times New Roman"/>
                <w:color w:val="000000"/>
                <w:sz w:val="18"/>
              </w:rPr>
            </w:pPr>
            <w:r w:rsidRPr="005E6C45">
              <w:rPr>
                <w:rFonts w:eastAsia="Times New Roman" w:cs="Times New Roman"/>
                <w:color w:val="000000"/>
                <w:sz w:val="18"/>
              </w:rPr>
              <w:t>mg</w:t>
            </w:r>
          </w:p>
        </w:tc>
        <w:tc>
          <w:tcPr>
            <w:tcW w:w="1159" w:type="pct"/>
            <w:tcBorders>
              <w:top w:val="nil"/>
              <w:bottom w:val="single" w:sz="4" w:space="0" w:color="auto"/>
            </w:tcBorders>
            <w:noWrap/>
            <w:hideMark/>
          </w:tcPr>
          <w:p w14:paraId="1B61F0DD" w14:textId="35392B02" w:rsidR="005E6C45" w:rsidRPr="005E6C45" w:rsidRDefault="005E6C45" w:rsidP="000F1A32">
            <w:pPr>
              <w:ind w:right="657"/>
              <w:jc w:val="right"/>
              <w:rPr>
                <w:rFonts w:eastAsia="Times New Roman" w:cs="Times New Roman"/>
                <w:color w:val="000000"/>
                <w:sz w:val="18"/>
              </w:rPr>
            </w:pPr>
            <w:r w:rsidRPr="005E6C45">
              <w:rPr>
                <w:rFonts w:cs="Times New Roman"/>
                <w:color w:val="000000"/>
                <w:sz w:val="18"/>
              </w:rPr>
              <w:t>0.128</w:t>
            </w:r>
          </w:p>
        </w:tc>
        <w:tc>
          <w:tcPr>
            <w:tcW w:w="1160" w:type="pct"/>
            <w:tcBorders>
              <w:top w:val="nil"/>
              <w:bottom w:val="single" w:sz="4" w:space="0" w:color="auto"/>
            </w:tcBorders>
            <w:noWrap/>
            <w:hideMark/>
          </w:tcPr>
          <w:p w14:paraId="176216E5" w14:textId="71E50EBF" w:rsidR="005E6C45" w:rsidRPr="005E6C45" w:rsidRDefault="005E6C45" w:rsidP="000F1A32">
            <w:pPr>
              <w:ind w:right="657"/>
              <w:jc w:val="right"/>
              <w:rPr>
                <w:rFonts w:eastAsia="Times New Roman" w:cs="Times New Roman"/>
                <w:color w:val="000000"/>
                <w:sz w:val="18"/>
              </w:rPr>
            </w:pPr>
            <w:r w:rsidRPr="005E6C45">
              <w:rPr>
                <w:rFonts w:cs="Times New Roman"/>
                <w:color w:val="000000"/>
                <w:sz w:val="18"/>
              </w:rPr>
              <w:t>0.137</w:t>
            </w:r>
          </w:p>
        </w:tc>
      </w:tr>
      <w:tr w:rsidR="005E6C45" w:rsidRPr="005E6C45" w14:paraId="4F49FBCB" w14:textId="77777777" w:rsidTr="00E873DB">
        <w:trPr>
          <w:trHeight w:val="20"/>
        </w:trPr>
        <w:tc>
          <w:tcPr>
            <w:tcW w:w="2096" w:type="pct"/>
            <w:tcBorders>
              <w:bottom w:val="nil"/>
            </w:tcBorders>
            <w:noWrap/>
            <w:hideMark/>
          </w:tcPr>
          <w:p w14:paraId="26228B26" w14:textId="77777777" w:rsidR="005E6C45" w:rsidRPr="005E6C45" w:rsidRDefault="005E6C45" w:rsidP="000F1A32">
            <w:pPr>
              <w:jc w:val="left"/>
              <w:rPr>
                <w:rFonts w:eastAsia="Times New Roman" w:cs="Times New Roman"/>
                <w:b/>
                <w:bCs/>
                <w:color w:val="000000"/>
                <w:sz w:val="18"/>
              </w:rPr>
            </w:pPr>
            <w:r w:rsidRPr="005E6C45">
              <w:rPr>
                <w:rFonts w:eastAsia="Times New Roman" w:cs="Times New Roman"/>
                <w:b/>
                <w:bCs/>
                <w:color w:val="000000"/>
                <w:sz w:val="18"/>
              </w:rPr>
              <w:t>Product</w:t>
            </w:r>
          </w:p>
        </w:tc>
        <w:tc>
          <w:tcPr>
            <w:tcW w:w="585" w:type="pct"/>
            <w:tcBorders>
              <w:bottom w:val="nil"/>
            </w:tcBorders>
            <w:noWrap/>
            <w:hideMark/>
          </w:tcPr>
          <w:p w14:paraId="1640F597" w14:textId="77777777" w:rsidR="005E6C45" w:rsidRPr="005E6C45" w:rsidRDefault="005E6C45" w:rsidP="000F1A32">
            <w:pPr>
              <w:jc w:val="center"/>
              <w:rPr>
                <w:rFonts w:eastAsia="Times New Roman" w:cs="Times New Roman"/>
                <w:b/>
                <w:bCs/>
                <w:color w:val="000000"/>
                <w:sz w:val="18"/>
              </w:rPr>
            </w:pPr>
          </w:p>
        </w:tc>
        <w:tc>
          <w:tcPr>
            <w:tcW w:w="1159" w:type="pct"/>
            <w:tcBorders>
              <w:bottom w:val="nil"/>
            </w:tcBorders>
            <w:noWrap/>
            <w:hideMark/>
          </w:tcPr>
          <w:p w14:paraId="72927E25" w14:textId="77777777" w:rsidR="005E6C45" w:rsidRPr="005E6C45" w:rsidRDefault="005E6C45" w:rsidP="000F1A32">
            <w:pPr>
              <w:ind w:right="657"/>
              <w:jc w:val="left"/>
              <w:rPr>
                <w:rFonts w:eastAsia="Times New Roman" w:cs="Times New Roman"/>
                <w:color w:val="000000"/>
                <w:sz w:val="18"/>
              </w:rPr>
            </w:pPr>
            <w:r w:rsidRPr="005E6C45">
              <w:rPr>
                <w:rFonts w:eastAsia="Times New Roman" w:cs="Times New Roman"/>
                <w:color w:val="000000"/>
                <w:sz w:val="18"/>
              </w:rPr>
              <w:t> </w:t>
            </w:r>
          </w:p>
        </w:tc>
        <w:tc>
          <w:tcPr>
            <w:tcW w:w="1160" w:type="pct"/>
            <w:tcBorders>
              <w:bottom w:val="nil"/>
            </w:tcBorders>
            <w:noWrap/>
            <w:hideMark/>
          </w:tcPr>
          <w:p w14:paraId="78FE4FD8" w14:textId="77777777" w:rsidR="005E6C45" w:rsidRPr="005E6C45" w:rsidRDefault="005E6C45" w:rsidP="000F1A32">
            <w:pPr>
              <w:ind w:right="657"/>
              <w:jc w:val="left"/>
              <w:rPr>
                <w:rFonts w:eastAsia="Times New Roman" w:cs="Times New Roman"/>
                <w:color w:val="000000"/>
                <w:sz w:val="18"/>
              </w:rPr>
            </w:pPr>
            <w:r w:rsidRPr="005E6C45">
              <w:rPr>
                <w:rFonts w:eastAsia="Times New Roman" w:cs="Times New Roman"/>
                <w:color w:val="000000"/>
                <w:sz w:val="18"/>
              </w:rPr>
              <w:t> </w:t>
            </w:r>
          </w:p>
        </w:tc>
      </w:tr>
      <w:tr w:rsidR="005E6C45" w:rsidRPr="005E6C45" w14:paraId="3B8197D9" w14:textId="77777777" w:rsidTr="00E873DB">
        <w:trPr>
          <w:trHeight w:val="20"/>
        </w:trPr>
        <w:tc>
          <w:tcPr>
            <w:tcW w:w="2096" w:type="pct"/>
            <w:tcBorders>
              <w:top w:val="nil"/>
            </w:tcBorders>
            <w:noWrap/>
            <w:hideMark/>
          </w:tcPr>
          <w:p w14:paraId="644D6AFE" w14:textId="77777777" w:rsidR="005E6C45" w:rsidRPr="005E6C45" w:rsidRDefault="005E6C45" w:rsidP="000F1A32">
            <w:pPr>
              <w:jc w:val="right"/>
              <w:rPr>
                <w:rFonts w:eastAsia="Times New Roman" w:cs="Times New Roman"/>
                <w:color w:val="000000"/>
                <w:sz w:val="18"/>
              </w:rPr>
            </w:pPr>
            <w:r w:rsidRPr="005E6C45">
              <w:rPr>
                <w:rFonts w:eastAsia="Times New Roman" w:cs="Times New Roman"/>
                <w:color w:val="000000"/>
                <w:sz w:val="18"/>
              </w:rPr>
              <w:t>Pyrolysis oil</w:t>
            </w:r>
          </w:p>
        </w:tc>
        <w:tc>
          <w:tcPr>
            <w:tcW w:w="585" w:type="pct"/>
            <w:tcBorders>
              <w:top w:val="nil"/>
            </w:tcBorders>
            <w:noWrap/>
            <w:hideMark/>
          </w:tcPr>
          <w:p w14:paraId="090E80B9" w14:textId="54C7A85A" w:rsidR="005E6C45" w:rsidRPr="005E6C45" w:rsidRDefault="005E6C45" w:rsidP="000F1A32">
            <w:pPr>
              <w:jc w:val="center"/>
              <w:rPr>
                <w:rFonts w:eastAsia="Times New Roman" w:cs="Times New Roman"/>
                <w:color w:val="000000"/>
                <w:sz w:val="18"/>
              </w:rPr>
            </w:pPr>
            <w:r w:rsidRPr="005E6C45">
              <w:rPr>
                <w:rFonts w:eastAsia="Times New Roman" w:cs="Times New Roman"/>
                <w:color w:val="000000"/>
                <w:sz w:val="18"/>
              </w:rPr>
              <w:t>MJ</w:t>
            </w:r>
          </w:p>
        </w:tc>
        <w:tc>
          <w:tcPr>
            <w:tcW w:w="1159" w:type="pct"/>
            <w:tcBorders>
              <w:top w:val="nil"/>
            </w:tcBorders>
            <w:noWrap/>
            <w:hideMark/>
          </w:tcPr>
          <w:p w14:paraId="483F9893" w14:textId="77777777" w:rsidR="005E6C45" w:rsidRPr="005E6C45" w:rsidRDefault="005E6C45" w:rsidP="000F1A32">
            <w:pPr>
              <w:ind w:right="657"/>
              <w:jc w:val="right"/>
              <w:rPr>
                <w:rFonts w:eastAsia="Times New Roman" w:cs="Times New Roman"/>
                <w:color w:val="000000"/>
                <w:sz w:val="18"/>
              </w:rPr>
            </w:pPr>
            <w:r w:rsidRPr="005E6C45">
              <w:rPr>
                <w:rFonts w:eastAsia="Times New Roman" w:cs="Times New Roman"/>
                <w:color w:val="000000"/>
                <w:sz w:val="18"/>
              </w:rPr>
              <w:t>1.00</w:t>
            </w:r>
          </w:p>
        </w:tc>
        <w:tc>
          <w:tcPr>
            <w:tcW w:w="1160" w:type="pct"/>
            <w:tcBorders>
              <w:top w:val="nil"/>
            </w:tcBorders>
            <w:noWrap/>
            <w:hideMark/>
          </w:tcPr>
          <w:p w14:paraId="4ACD27ED" w14:textId="77777777" w:rsidR="005E6C45" w:rsidRPr="005E6C45" w:rsidRDefault="005E6C45" w:rsidP="000F1A32">
            <w:pPr>
              <w:ind w:right="657"/>
              <w:jc w:val="right"/>
              <w:rPr>
                <w:rFonts w:eastAsia="Times New Roman" w:cs="Times New Roman"/>
                <w:color w:val="000000"/>
                <w:sz w:val="18"/>
              </w:rPr>
            </w:pPr>
            <w:r w:rsidRPr="005E6C45">
              <w:rPr>
                <w:rFonts w:eastAsia="Times New Roman" w:cs="Times New Roman"/>
                <w:color w:val="000000"/>
                <w:sz w:val="18"/>
              </w:rPr>
              <w:t>1.00</w:t>
            </w:r>
          </w:p>
        </w:tc>
      </w:tr>
    </w:tbl>
    <w:p w14:paraId="113E466F" w14:textId="77777777" w:rsidR="005E6C45" w:rsidRDefault="005E6C45" w:rsidP="000F1A32">
      <w:pPr>
        <w:spacing w:after="0" w:line="240" w:lineRule="auto"/>
      </w:pPr>
    </w:p>
    <w:p w14:paraId="0FC6DD20" w14:textId="3A4A17B2" w:rsidR="003247BD" w:rsidRDefault="003247BD" w:rsidP="000F1A32">
      <w:pPr>
        <w:spacing w:after="0" w:line="240" w:lineRule="auto"/>
      </w:pPr>
    </w:p>
    <w:p w14:paraId="477BD511" w14:textId="6ACEF626" w:rsidR="003247BD" w:rsidRDefault="00520E6C" w:rsidP="00520E6C">
      <w:pPr>
        <w:pStyle w:val="Heading2"/>
      </w:pPr>
      <w:r>
        <w:t>Production of Renewable Diesel</w:t>
      </w:r>
    </w:p>
    <w:p w14:paraId="69705DAE" w14:textId="31998C62" w:rsidR="0088734B" w:rsidRDefault="0088734B" w:rsidP="00520E6C">
      <w:pPr>
        <w:spacing w:after="0" w:line="240" w:lineRule="auto"/>
      </w:pPr>
      <w:r>
        <w:fldChar w:fldCharType="begin"/>
      </w:r>
      <w:r>
        <w:instrText xml:space="preserve"> REF _Ref17904550 \h </w:instrText>
      </w:r>
      <w:r>
        <w:fldChar w:fldCharType="separate"/>
      </w:r>
      <w:r>
        <w:t xml:space="preserve">Table </w:t>
      </w:r>
      <w:r>
        <w:rPr>
          <w:noProof/>
        </w:rPr>
        <w:t>4</w:t>
      </w:r>
      <w:r>
        <w:fldChar w:fldCharType="end"/>
      </w:r>
      <w:r>
        <w:t xml:space="preserve"> </w:t>
      </w:r>
      <w:r w:rsidR="00194416">
        <w:t xml:space="preserve">presents the LCI </w:t>
      </w:r>
      <w:r>
        <w:t xml:space="preserve">of renewable diesel production </w:t>
      </w:r>
      <w:r w:rsidR="00EE639F">
        <w:t xml:space="preserve">via </w:t>
      </w:r>
      <w:r w:rsidR="00EE639F" w:rsidRPr="00EE639F">
        <w:t>hydroprocessed esters and fatty acids (HEFA)</w:t>
      </w:r>
      <w:r w:rsidR="00EE639F">
        <w:t xml:space="preserve"> </w:t>
      </w:r>
      <w:r>
        <w:t xml:space="preserve">using yellow grease with and without HFO co-feed developed by NREL </w:t>
      </w:r>
      <w:r>
        <w:fldChar w:fldCharType="begin"/>
      </w:r>
      <w:r>
        <w:instrText xml:space="preserve"> ADDIN ZOTERO_ITEM CSL_CITATION {"citationID":"a1n94l7j70m","properties":{"formattedCitation":"[10]","plainCitation":"[10]","noteIndex":0},"citationItems":[{"id":3228,"uris":["http://zotero.org/users/2367688/items/WKFNZBED"],"uri":["http://zotero.org/users/2367688/items/WKFNZBED"],"itemData":{"id":3228,"type":"report","title":"Economic Analysis of Renewable Fuels for Marine Propulsion","publisher":"National Renewable Energy Laboratory","URL":"https://www.nrel.gov/docs/fy19osti/74678.pdf","number":"NREL/TP-5100-74678","author":[{"literal":"Eric Tan"},{"literal":"Ling Tao"}],"issued":{"date-parts":[["2019",9]]},"accessed":{"date-parts":[["2019",9,18]]}}}],"schema":"https://github.com/citation-style-language/schema/raw/master/csl-citation.json"} </w:instrText>
      </w:r>
      <w:r>
        <w:fldChar w:fldCharType="separate"/>
      </w:r>
      <w:r w:rsidRPr="0088734B">
        <w:rPr>
          <w:rFonts w:cs="Times New Roman"/>
          <w:szCs w:val="24"/>
        </w:rPr>
        <w:t>[10]</w:t>
      </w:r>
      <w:r>
        <w:fldChar w:fldCharType="end"/>
      </w:r>
      <w:r>
        <w:t>.</w:t>
      </w:r>
      <w:r w:rsidR="00EE639F">
        <w:t xml:space="preserve"> </w:t>
      </w:r>
      <w:r>
        <w:t xml:space="preserve"> </w:t>
      </w:r>
      <w:r w:rsidR="00EE639F">
        <w:t xml:space="preserve">HEFA processes can generate diesel-like fuels from various types of oil feedstocks. Oil feedstocks are processed through </w:t>
      </w:r>
      <w:r w:rsidR="00B94C94" w:rsidRPr="00B94C94">
        <w:t>hydrogenation</w:t>
      </w:r>
      <w:r w:rsidR="00B94C94">
        <w:t xml:space="preserve">, hydrocracking, and product separation processes. Hydrogen is mainly used for both hydrogenation and hydrocracking processes. </w:t>
      </w:r>
      <w:r>
        <w:t xml:space="preserve">Detailed process information can be found in the previous NREL studies </w:t>
      </w:r>
      <w:r>
        <w:fldChar w:fldCharType="begin"/>
      </w:r>
      <w:r>
        <w:instrText xml:space="preserve"> ADDIN ZOTERO_ITEM CSL_CITATION {"citationID":"ac6ij6hidt","properties":{"formattedCitation":"[10,13]","plainCitation":"[10,13]","noteIndex":0},"citationItems":[{"id":3228,"uris":["http://zotero.org/users/2367688/items/WKFNZBED"],"uri":["http://zotero.org/users/2367688/items/WKFNZBED"],"itemData":{"id":3228,"type":"report","title":"Economic Analysis of Renewable Fuels for Marine Propulsion","publisher":"National Renewable Energy Laboratory","URL":"https://www.nrel.gov/docs/fy19osti/74678.pdf","number":"NREL/TP-5100-74678","author":[{"literal":"Eric Tan"},{"literal":"Ling Tao"}],"issued":{"date-parts":[["2019",9]]},"accessed":{"date-parts":[["2019",9,18]]}}},{"id":3232,"uris":["http://zotero.org/users/2367688/items/585Y8X3B"],"uri":["http://zotero.org/users/2367688/items/585Y8X3B"],"itemData":{"id":3232,"type":"article-journal","title":"Techno-economic and resource analysis of hydroprocessed renewable jet fuel","container-title":"Biotechnology for biofuels","page":"261","volume":"10","issue":"1","source":"Google Scholar","author":[{"family":"Tao","given":"Ling"},{"family":"Milbrandt","given":"Anelia"},{"family":"Zhang","given":"Yanan"},{"family":"Wang","given":"Wei-Cheng"}],"issued":{"date-parts":[["2017"]]}}}],"schema":"https://github.com/citation-style-language/schema/raw/master/csl-citation.json"} </w:instrText>
      </w:r>
      <w:r>
        <w:fldChar w:fldCharType="separate"/>
      </w:r>
      <w:r w:rsidRPr="0088734B">
        <w:rPr>
          <w:rFonts w:cs="Times New Roman"/>
          <w:szCs w:val="24"/>
        </w:rPr>
        <w:t>[10,13]</w:t>
      </w:r>
      <w:r>
        <w:fldChar w:fldCharType="end"/>
      </w:r>
      <w:r w:rsidR="00B94C94">
        <w:t>.</w:t>
      </w:r>
    </w:p>
    <w:p w14:paraId="6AAB6B5C" w14:textId="77777777" w:rsidR="002E4234" w:rsidRPr="00F366A7" w:rsidRDefault="002E4234" w:rsidP="00520E6C">
      <w:pPr>
        <w:spacing w:after="0" w:line="240" w:lineRule="auto"/>
      </w:pPr>
    </w:p>
    <w:p w14:paraId="3B2206C3" w14:textId="62C04EB0" w:rsidR="00F366A7" w:rsidRDefault="00F366A7" w:rsidP="000F1A32">
      <w:pPr>
        <w:pStyle w:val="Caption"/>
        <w:spacing w:after="0"/>
      </w:pPr>
      <w:bookmarkStart w:id="5" w:name="_Ref17904550"/>
      <w:r>
        <w:t xml:space="preserve">Table </w:t>
      </w:r>
      <w:r w:rsidR="006D53AC">
        <w:rPr>
          <w:noProof/>
        </w:rPr>
        <w:fldChar w:fldCharType="begin"/>
      </w:r>
      <w:r w:rsidR="006D53AC">
        <w:rPr>
          <w:noProof/>
        </w:rPr>
        <w:instrText xml:space="preserve"> SEQ Table \* ARABIC </w:instrText>
      </w:r>
      <w:r w:rsidR="006D53AC">
        <w:rPr>
          <w:noProof/>
        </w:rPr>
        <w:fldChar w:fldCharType="separate"/>
      </w:r>
      <w:r w:rsidR="00AA250B">
        <w:rPr>
          <w:noProof/>
        </w:rPr>
        <w:t>4</w:t>
      </w:r>
      <w:r w:rsidR="006D53AC">
        <w:rPr>
          <w:noProof/>
        </w:rPr>
        <w:fldChar w:fldCharType="end"/>
      </w:r>
      <w:bookmarkEnd w:id="5"/>
      <w:r>
        <w:t>. Inputs and outputs of renewable diesel production using yellow grease with and without HFO co-feed</w:t>
      </w:r>
    </w:p>
    <w:tbl>
      <w:tblPr>
        <w:tblStyle w:val="TableGrid"/>
        <w:tblW w:w="5000" w:type="pct"/>
        <w:tblLook w:val="04A0" w:firstRow="1" w:lastRow="0" w:firstColumn="1" w:lastColumn="0" w:noHBand="0" w:noVBand="1"/>
      </w:tblPr>
      <w:tblGrid>
        <w:gridCol w:w="4050"/>
        <w:gridCol w:w="1095"/>
        <w:gridCol w:w="2336"/>
        <w:gridCol w:w="1879"/>
      </w:tblGrid>
      <w:tr w:rsidR="002E3A7E" w:rsidRPr="002E3A7E" w14:paraId="27DFF6C7" w14:textId="77777777" w:rsidTr="00E873DB">
        <w:trPr>
          <w:trHeight w:val="20"/>
        </w:trPr>
        <w:tc>
          <w:tcPr>
            <w:tcW w:w="2052" w:type="pct"/>
            <w:tcBorders>
              <w:left w:val="nil"/>
              <w:bottom w:val="single" w:sz="4" w:space="0" w:color="auto"/>
            </w:tcBorders>
            <w:noWrap/>
            <w:hideMark/>
          </w:tcPr>
          <w:p w14:paraId="1CC9A0E8" w14:textId="77777777" w:rsidR="002E3A7E" w:rsidRPr="002E3A7E" w:rsidRDefault="002E3A7E" w:rsidP="000F1A32">
            <w:pPr>
              <w:jc w:val="left"/>
              <w:rPr>
                <w:rFonts w:eastAsia="Times New Roman" w:cs="Times New Roman"/>
                <w:color w:val="000000"/>
                <w:sz w:val="18"/>
                <w:szCs w:val="18"/>
              </w:rPr>
            </w:pPr>
            <w:r w:rsidRPr="002E3A7E">
              <w:rPr>
                <w:rFonts w:eastAsia="Times New Roman" w:cs="Times New Roman"/>
                <w:color w:val="000000"/>
                <w:sz w:val="18"/>
                <w:szCs w:val="18"/>
              </w:rPr>
              <w:t> </w:t>
            </w:r>
          </w:p>
        </w:tc>
        <w:tc>
          <w:tcPr>
            <w:tcW w:w="585" w:type="pct"/>
            <w:tcBorders>
              <w:bottom w:val="single" w:sz="4" w:space="0" w:color="auto"/>
            </w:tcBorders>
            <w:noWrap/>
            <w:hideMark/>
          </w:tcPr>
          <w:p w14:paraId="7E2E938F" w14:textId="1E585AC1" w:rsidR="002E3A7E" w:rsidRPr="002E3A7E" w:rsidRDefault="002E3A7E" w:rsidP="000F1A32">
            <w:pPr>
              <w:jc w:val="center"/>
              <w:rPr>
                <w:rFonts w:eastAsia="Times New Roman" w:cs="Times New Roman"/>
                <w:bCs/>
                <w:sz w:val="18"/>
                <w:szCs w:val="18"/>
              </w:rPr>
            </w:pPr>
            <w:r w:rsidRPr="002E3A7E">
              <w:rPr>
                <w:rFonts w:eastAsia="Times New Roman" w:cs="Times New Roman"/>
                <w:bCs/>
                <w:sz w:val="18"/>
                <w:szCs w:val="18"/>
              </w:rPr>
              <w:t>Unit</w:t>
            </w:r>
            <w:r w:rsidRPr="00C66682">
              <w:rPr>
                <w:rFonts w:eastAsia="Times New Roman" w:cs="Times New Roman"/>
                <w:bCs/>
                <w:sz w:val="18"/>
                <w:szCs w:val="18"/>
              </w:rPr>
              <w:t>s</w:t>
            </w:r>
          </w:p>
        </w:tc>
        <w:tc>
          <w:tcPr>
            <w:tcW w:w="1248" w:type="pct"/>
            <w:tcBorders>
              <w:bottom w:val="single" w:sz="4" w:space="0" w:color="auto"/>
            </w:tcBorders>
            <w:hideMark/>
          </w:tcPr>
          <w:p w14:paraId="5BDFC664" w14:textId="77777777" w:rsidR="002E3A7E" w:rsidRPr="002E3A7E" w:rsidRDefault="002E3A7E" w:rsidP="000F1A32">
            <w:pPr>
              <w:jc w:val="center"/>
              <w:rPr>
                <w:rFonts w:eastAsia="Times New Roman" w:cs="Times New Roman"/>
                <w:b/>
                <w:color w:val="000000"/>
                <w:sz w:val="18"/>
                <w:szCs w:val="18"/>
              </w:rPr>
            </w:pPr>
            <w:r w:rsidRPr="002E3A7E">
              <w:rPr>
                <w:rFonts w:eastAsia="Times New Roman" w:cs="Times New Roman"/>
                <w:b/>
                <w:color w:val="000000"/>
                <w:sz w:val="18"/>
                <w:szCs w:val="18"/>
              </w:rPr>
              <w:t>Yellow grease</w:t>
            </w:r>
          </w:p>
        </w:tc>
        <w:tc>
          <w:tcPr>
            <w:tcW w:w="1115" w:type="pct"/>
            <w:tcBorders>
              <w:bottom w:val="single" w:sz="4" w:space="0" w:color="auto"/>
              <w:right w:val="nil"/>
            </w:tcBorders>
            <w:hideMark/>
          </w:tcPr>
          <w:p w14:paraId="32CAC478" w14:textId="44D7AFE9" w:rsidR="002E3A7E" w:rsidRPr="002E3A7E" w:rsidRDefault="002E3A7E" w:rsidP="000F1A32">
            <w:pPr>
              <w:jc w:val="center"/>
              <w:rPr>
                <w:rFonts w:eastAsia="Times New Roman" w:cs="Times New Roman"/>
                <w:b/>
                <w:color w:val="000000"/>
                <w:sz w:val="18"/>
                <w:szCs w:val="18"/>
              </w:rPr>
            </w:pPr>
            <w:r w:rsidRPr="002E3A7E">
              <w:rPr>
                <w:rFonts w:eastAsia="Times New Roman" w:cs="Times New Roman"/>
                <w:b/>
                <w:color w:val="000000"/>
                <w:sz w:val="18"/>
                <w:szCs w:val="18"/>
              </w:rPr>
              <w:t>Yellow grease</w:t>
            </w:r>
            <w:r w:rsidR="00F366A7">
              <w:rPr>
                <w:rFonts w:eastAsia="Times New Roman" w:cs="Times New Roman"/>
                <w:b/>
                <w:color w:val="000000"/>
                <w:sz w:val="18"/>
                <w:szCs w:val="18"/>
              </w:rPr>
              <w:t xml:space="preserve"> with HFO</w:t>
            </w:r>
          </w:p>
        </w:tc>
      </w:tr>
      <w:tr w:rsidR="002E3A7E" w:rsidRPr="002E3A7E" w14:paraId="1B352543" w14:textId="77777777" w:rsidTr="002E3A7E">
        <w:trPr>
          <w:trHeight w:val="20"/>
        </w:trPr>
        <w:tc>
          <w:tcPr>
            <w:tcW w:w="2163" w:type="pct"/>
            <w:tcBorders>
              <w:left w:val="nil"/>
              <w:bottom w:val="nil"/>
            </w:tcBorders>
            <w:noWrap/>
          </w:tcPr>
          <w:p w14:paraId="6B62E47B" w14:textId="2B49F585" w:rsidR="002E3A7E" w:rsidRPr="002E3A7E" w:rsidRDefault="00DD684D" w:rsidP="000F1A32">
            <w:pPr>
              <w:jc w:val="left"/>
              <w:rPr>
                <w:rFonts w:eastAsia="Times New Roman" w:cs="Times New Roman"/>
                <w:b/>
                <w:bCs/>
                <w:sz w:val="18"/>
                <w:szCs w:val="18"/>
              </w:rPr>
            </w:pPr>
            <w:r>
              <w:rPr>
                <w:rFonts w:eastAsia="Times New Roman" w:cs="Times New Roman"/>
                <w:b/>
                <w:bCs/>
                <w:sz w:val="18"/>
                <w:szCs w:val="18"/>
              </w:rPr>
              <w:t>Energy Inputs</w:t>
            </w:r>
          </w:p>
        </w:tc>
        <w:tc>
          <w:tcPr>
            <w:tcW w:w="385" w:type="pct"/>
            <w:tcBorders>
              <w:bottom w:val="nil"/>
            </w:tcBorders>
            <w:noWrap/>
          </w:tcPr>
          <w:p w14:paraId="4BE43E2A" w14:textId="10D3EA54" w:rsidR="002E3A7E" w:rsidRPr="002E3A7E" w:rsidRDefault="002E3A7E" w:rsidP="000F1A32">
            <w:pPr>
              <w:jc w:val="center"/>
              <w:rPr>
                <w:rFonts w:eastAsia="Times New Roman" w:cs="Times New Roman"/>
                <w:color w:val="000000"/>
                <w:sz w:val="18"/>
                <w:szCs w:val="18"/>
              </w:rPr>
            </w:pPr>
          </w:p>
        </w:tc>
        <w:tc>
          <w:tcPr>
            <w:tcW w:w="1226" w:type="pct"/>
            <w:tcBorders>
              <w:bottom w:val="nil"/>
            </w:tcBorders>
            <w:noWrap/>
          </w:tcPr>
          <w:p w14:paraId="0E31B84A" w14:textId="5DDB8E6B" w:rsidR="002E3A7E" w:rsidRPr="002E3A7E" w:rsidRDefault="002E3A7E" w:rsidP="000F1A32">
            <w:pPr>
              <w:jc w:val="left"/>
              <w:rPr>
                <w:rFonts w:eastAsia="Times New Roman" w:cs="Times New Roman"/>
                <w:color w:val="000000"/>
                <w:sz w:val="18"/>
                <w:szCs w:val="18"/>
              </w:rPr>
            </w:pPr>
            <w:r w:rsidRPr="002E3A7E">
              <w:rPr>
                <w:rFonts w:eastAsia="Times New Roman" w:cs="Times New Roman"/>
                <w:color w:val="000000"/>
                <w:sz w:val="18"/>
                <w:szCs w:val="18"/>
              </w:rPr>
              <w:t> </w:t>
            </w:r>
          </w:p>
        </w:tc>
        <w:tc>
          <w:tcPr>
            <w:tcW w:w="1226" w:type="pct"/>
            <w:tcBorders>
              <w:bottom w:val="nil"/>
              <w:right w:val="nil"/>
            </w:tcBorders>
            <w:noWrap/>
          </w:tcPr>
          <w:p w14:paraId="247798FF" w14:textId="4AF38B71" w:rsidR="002E3A7E" w:rsidRPr="002E3A7E" w:rsidRDefault="002E3A7E" w:rsidP="000F1A32">
            <w:pPr>
              <w:jc w:val="left"/>
              <w:rPr>
                <w:rFonts w:eastAsia="Times New Roman" w:cs="Times New Roman"/>
                <w:color w:val="000000"/>
                <w:sz w:val="18"/>
                <w:szCs w:val="18"/>
              </w:rPr>
            </w:pPr>
            <w:r w:rsidRPr="002E3A7E">
              <w:rPr>
                <w:rFonts w:eastAsia="Times New Roman" w:cs="Times New Roman"/>
                <w:color w:val="000000"/>
                <w:sz w:val="18"/>
                <w:szCs w:val="18"/>
              </w:rPr>
              <w:t> </w:t>
            </w:r>
          </w:p>
        </w:tc>
      </w:tr>
      <w:tr w:rsidR="00E873DB" w:rsidRPr="002E3A7E" w14:paraId="0016CFED" w14:textId="77777777" w:rsidTr="00E873DB">
        <w:trPr>
          <w:trHeight w:val="20"/>
        </w:trPr>
        <w:tc>
          <w:tcPr>
            <w:tcW w:w="2163" w:type="pct"/>
            <w:vMerge w:val="restart"/>
            <w:tcBorders>
              <w:top w:val="nil"/>
              <w:left w:val="nil"/>
            </w:tcBorders>
            <w:noWrap/>
            <w:vAlign w:val="center"/>
          </w:tcPr>
          <w:p w14:paraId="60E33EC6" w14:textId="7C394F74" w:rsidR="00E873DB" w:rsidRPr="002E3A7E" w:rsidRDefault="00E873DB" w:rsidP="000F1A32">
            <w:pPr>
              <w:jc w:val="right"/>
              <w:rPr>
                <w:rFonts w:eastAsia="Times New Roman" w:cs="Times New Roman"/>
                <w:b/>
                <w:bCs/>
                <w:sz w:val="18"/>
                <w:szCs w:val="18"/>
              </w:rPr>
            </w:pPr>
            <w:r w:rsidRPr="002E3A7E">
              <w:rPr>
                <w:rFonts w:eastAsia="Times New Roman" w:cs="Times New Roman"/>
                <w:sz w:val="18"/>
                <w:szCs w:val="18"/>
              </w:rPr>
              <w:t>Feedstock (Yellow Grease)</w:t>
            </w:r>
          </w:p>
        </w:tc>
        <w:tc>
          <w:tcPr>
            <w:tcW w:w="385" w:type="pct"/>
            <w:tcBorders>
              <w:top w:val="nil"/>
              <w:bottom w:val="nil"/>
            </w:tcBorders>
            <w:noWrap/>
          </w:tcPr>
          <w:p w14:paraId="08EC1E0E" w14:textId="3DAA1A70" w:rsidR="00E873DB" w:rsidRPr="002E3A7E" w:rsidRDefault="00E873DB" w:rsidP="000F1A32">
            <w:pPr>
              <w:jc w:val="center"/>
              <w:rPr>
                <w:rFonts w:eastAsia="Times New Roman" w:cs="Times New Roman"/>
                <w:color w:val="000000"/>
                <w:sz w:val="18"/>
                <w:szCs w:val="18"/>
              </w:rPr>
            </w:pPr>
            <w:r w:rsidRPr="002E3A7E">
              <w:rPr>
                <w:rFonts w:eastAsia="Times New Roman" w:cs="Times New Roman"/>
                <w:color w:val="000000"/>
                <w:sz w:val="18"/>
                <w:szCs w:val="18"/>
              </w:rPr>
              <w:t>MJ</w:t>
            </w:r>
          </w:p>
        </w:tc>
        <w:tc>
          <w:tcPr>
            <w:tcW w:w="1226" w:type="pct"/>
            <w:tcBorders>
              <w:top w:val="nil"/>
              <w:bottom w:val="nil"/>
            </w:tcBorders>
            <w:noWrap/>
          </w:tcPr>
          <w:p w14:paraId="6549B6AE" w14:textId="41C519EC" w:rsidR="00E873DB" w:rsidRPr="002E3A7E" w:rsidRDefault="00E873DB"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1.21</w:t>
            </w:r>
          </w:p>
        </w:tc>
        <w:tc>
          <w:tcPr>
            <w:tcW w:w="1226" w:type="pct"/>
            <w:tcBorders>
              <w:top w:val="nil"/>
              <w:bottom w:val="nil"/>
              <w:right w:val="nil"/>
            </w:tcBorders>
            <w:noWrap/>
          </w:tcPr>
          <w:p w14:paraId="57F228DF" w14:textId="41804767" w:rsidR="00E873DB" w:rsidRPr="002E3A7E" w:rsidRDefault="00E873DB"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0.51</w:t>
            </w:r>
          </w:p>
        </w:tc>
      </w:tr>
      <w:tr w:rsidR="00E873DB" w:rsidRPr="002E3A7E" w14:paraId="467964DD" w14:textId="77777777" w:rsidTr="00E873DB">
        <w:trPr>
          <w:trHeight w:val="20"/>
        </w:trPr>
        <w:tc>
          <w:tcPr>
            <w:tcW w:w="2052" w:type="pct"/>
            <w:vMerge/>
            <w:tcBorders>
              <w:left w:val="nil"/>
              <w:bottom w:val="nil"/>
            </w:tcBorders>
            <w:noWrap/>
          </w:tcPr>
          <w:p w14:paraId="41C719FE" w14:textId="77777777" w:rsidR="00E873DB" w:rsidRPr="002E3A7E" w:rsidRDefault="00E873DB" w:rsidP="000F1A32">
            <w:pPr>
              <w:jc w:val="right"/>
              <w:rPr>
                <w:rFonts w:eastAsia="Times New Roman" w:cs="Times New Roman"/>
                <w:sz w:val="18"/>
                <w:szCs w:val="18"/>
              </w:rPr>
            </w:pPr>
          </w:p>
        </w:tc>
        <w:tc>
          <w:tcPr>
            <w:tcW w:w="585" w:type="pct"/>
            <w:tcBorders>
              <w:top w:val="nil"/>
              <w:bottom w:val="nil"/>
            </w:tcBorders>
            <w:noWrap/>
          </w:tcPr>
          <w:p w14:paraId="0E3D0722" w14:textId="14B869AF" w:rsidR="00E873DB" w:rsidRPr="002E3A7E" w:rsidRDefault="00E873DB" w:rsidP="000F1A32">
            <w:pPr>
              <w:jc w:val="center"/>
              <w:rPr>
                <w:rFonts w:eastAsia="Times New Roman" w:cs="Times New Roman"/>
                <w:color w:val="000000"/>
                <w:sz w:val="18"/>
                <w:szCs w:val="18"/>
              </w:rPr>
            </w:pPr>
            <w:r>
              <w:rPr>
                <w:rFonts w:eastAsia="Times New Roman" w:cs="Times New Roman"/>
                <w:color w:val="000000"/>
                <w:sz w:val="18"/>
                <w:szCs w:val="18"/>
              </w:rPr>
              <w:t>g</w:t>
            </w:r>
          </w:p>
        </w:tc>
        <w:tc>
          <w:tcPr>
            <w:tcW w:w="1248" w:type="pct"/>
            <w:tcBorders>
              <w:top w:val="nil"/>
              <w:bottom w:val="nil"/>
            </w:tcBorders>
            <w:noWrap/>
          </w:tcPr>
          <w:p w14:paraId="56475F5E" w14:textId="72614E81" w:rsidR="00E873DB" w:rsidRPr="002E3A7E" w:rsidRDefault="00E873DB" w:rsidP="000F1A32">
            <w:pPr>
              <w:ind w:right="836"/>
              <w:jc w:val="right"/>
              <w:rPr>
                <w:rFonts w:eastAsia="Times New Roman" w:cs="Times New Roman"/>
                <w:color w:val="000000"/>
                <w:sz w:val="18"/>
                <w:szCs w:val="18"/>
              </w:rPr>
            </w:pPr>
            <w:r>
              <w:rPr>
                <w:rFonts w:eastAsia="Times New Roman" w:cs="Times New Roman"/>
                <w:color w:val="000000"/>
                <w:sz w:val="18"/>
                <w:szCs w:val="18"/>
              </w:rPr>
              <w:t>30.4</w:t>
            </w:r>
          </w:p>
        </w:tc>
        <w:tc>
          <w:tcPr>
            <w:tcW w:w="1115" w:type="pct"/>
            <w:tcBorders>
              <w:top w:val="nil"/>
              <w:bottom w:val="nil"/>
              <w:right w:val="nil"/>
            </w:tcBorders>
            <w:noWrap/>
          </w:tcPr>
          <w:p w14:paraId="0B2285F3" w14:textId="16016F94" w:rsidR="00E873DB" w:rsidRPr="002E3A7E" w:rsidRDefault="00E873DB" w:rsidP="000F1A32">
            <w:pPr>
              <w:ind w:right="836"/>
              <w:jc w:val="right"/>
              <w:rPr>
                <w:rFonts w:eastAsia="Times New Roman" w:cs="Times New Roman"/>
                <w:color w:val="000000"/>
                <w:sz w:val="18"/>
                <w:szCs w:val="18"/>
              </w:rPr>
            </w:pPr>
            <w:r>
              <w:rPr>
                <w:rFonts w:eastAsia="Times New Roman" w:cs="Times New Roman"/>
                <w:color w:val="000000"/>
                <w:sz w:val="18"/>
                <w:szCs w:val="18"/>
              </w:rPr>
              <w:t>12.9</w:t>
            </w:r>
          </w:p>
        </w:tc>
      </w:tr>
      <w:tr w:rsidR="002E3A7E" w:rsidRPr="002E3A7E" w14:paraId="611A5456" w14:textId="77777777" w:rsidTr="00E873DB">
        <w:trPr>
          <w:trHeight w:val="20"/>
        </w:trPr>
        <w:tc>
          <w:tcPr>
            <w:tcW w:w="2052" w:type="pct"/>
            <w:tcBorders>
              <w:top w:val="nil"/>
              <w:left w:val="nil"/>
              <w:bottom w:val="nil"/>
            </w:tcBorders>
            <w:noWrap/>
          </w:tcPr>
          <w:p w14:paraId="06337392" w14:textId="3D783AB3" w:rsidR="002E3A7E" w:rsidRPr="002E3A7E" w:rsidRDefault="00F366A7" w:rsidP="000F1A32">
            <w:pPr>
              <w:jc w:val="right"/>
              <w:rPr>
                <w:rFonts w:eastAsia="Times New Roman" w:cs="Times New Roman"/>
                <w:b/>
                <w:bCs/>
                <w:sz w:val="18"/>
                <w:szCs w:val="18"/>
              </w:rPr>
            </w:pPr>
            <w:r>
              <w:rPr>
                <w:rFonts w:eastAsia="Times New Roman" w:cs="Times New Roman"/>
                <w:sz w:val="18"/>
                <w:szCs w:val="18"/>
              </w:rPr>
              <w:t xml:space="preserve">HFO </w:t>
            </w:r>
            <w:r w:rsidR="002E3A7E" w:rsidRPr="002E3A7E">
              <w:rPr>
                <w:rFonts w:eastAsia="Times New Roman" w:cs="Times New Roman"/>
                <w:sz w:val="18"/>
                <w:szCs w:val="18"/>
              </w:rPr>
              <w:t>(co-feed)</w:t>
            </w:r>
          </w:p>
        </w:tc>
        <w:tc>
          <w:tcPr>
            <w:tcW w:w="585" w:type="pct"/>
            <w:tcBorders>
              <w:top w:val="nil"/>
              <w:bottom w:val="nil"/>
            </w:tcBorders>
            <w:noWrap/>
          </w:tcPr>
          <w:p w14:paraId="7EE54B8E" w14:textId="43CBA8D6" w:rsidR="002E3A7E" w:rsidRPr="002E3A7E" w:rsidRDefault="002E3A7E" w:rsidP="000F1A32">
            <w:pPr>
              <w:jc w:val="center"/>
              <w:rPr>
                <w:rFonts w:eastAsia="Times New Roman" w:cs="Times New Roman"/>
                <w:color w:val="000000"/>
                <w:sz w:val="18"/>
                <w:szCs w:val="18"/>
              </w:rPr>
            </w:pPr>
            <w:r w:rsidRPr="002E3A7E">
              <w:rPr>
                <w:rFonts w:eastAsia="Times New Roman" w:cs="Times New Roman"/>
                <w:color w:val="000000"/>
                <w:sz w:val="18"/>
                <w:szCs w:val="18"/>
              </w:rPr>
              <w:t>MJ</w:t>
            </w:r>
          </w:p>
        </w:tc>
        <w:tc>
          <w:tcPr>
            <w:tcW w:w="1248" w:type="pct"/>
            <w:tcBorders>
              <w:top w:val="nil"/>
              <w:bottom w:val="nil"/>
            </w:tcBorders>
            <w:noWrap/>
          </w:tcPr>
          <w:p w14:paraId="3D9071D4" w14:textId="7718F47A"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0.00</w:t>
            </w:r>
          </w:p>
        </w:tc>
        <w:tc>
          <w:tcPr>
            <w:tcW w:w="1115" w:type="pct"/>
            <w:tcBorders>
              <w:top w:val="nil"/>
              <w:bottom w:val="nil"/>
              <w:right w:val="nil"/>
            </w:tcBorders>
            <w:noWrap/>
          </w:tcPr>
          <w:p w14:paraId="696BA15D" w14:textId="1367EB40"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0.51</w:t>
            </w:r>
          </w:p>
        </w:tc>
      </w:tr>
      <w:tr w:rsidR="00C66682" w:rsidRPr="002E3A7E" w14:paraId="56DCAD63" w14:textId="77777777" w:rsidTr="00E873DB">
        <w:trPr>
          <w:trHeight w:val="20"/>
        </w:trPr>
        <w:tc>
          <w:tcPr>
            <w:tcW w:w="2052" w:type="pct"/>
            <w:tcBorders>
              <w:top w:val="nil"/>
              <w:left w:val="nil"/>
              <w:bottom w:val="nil"/>
            </w:tcBorders>
            <w:noWrap/>
          </w:tcPr>
          <w:p w14:paraId="00FDC971" w14:textId="4FBFB3A0" w:rsidR="00C66682" w:rsidRPr="002E3A7E" w:rsidRDefault="00C66682" w:rsidP="000F1A32">
            <w:pPr>
              <w:jc w:val="right"/>
              <w:rPr>
                <w:rFonts w:eastAsia="Times New Roman" w:cs="Times New Roman"/>
                <w:sz w:val="18"/>
                <w:szCs w:val="18"/>
              </w:rPr>
            </w:pPr>
            <w:r w:rsidRPr="002E3A7E">
              <w:rPr>
                <w:rFonts w:eastAsia="Times New Roman" w:cs="Times New Roman"/>
                <w:sz w:val="18"/>
                <w:szCs w:val="18"/>
              </w:rPr>
              <w:t>Hydrogen</w:t>
            </w:r>
          </w:p>
        </w:tc>
        <w:tc>
          <w:tcPr>
            <w:tcW w:w="585" w:type="pct"/>
            <w:tcBorders>
              <w:top w:val="nil"/>
              <w:bottom w:val="nil"/>
            </w:tcBorders>
            <w:noWrap/>
          </w:tcPr>
          <w:p w14:paraId="2325A488" w14:textId="1006B722" w:rsidR="00C66682" w:rsidRPr="002E3A7E" w:rsidRDefault="00C66682" w:rsidP="000F1A32">
            <w:pPr>
              <w:jc w:val="center"/>
              <w:rPr>
                <w:rFonts w:eastAsia="Times New Roman" w:cs="Times New Roman"/>
                <w:color w:val="000000"/>
                <w:sz w:val="18"/>
                <w:szCs w:val="18"/>
              </w:rPr>
            </w:pPr>
            <w:r w:rsidRPr="002E3A7E">
              <w:rPr>
                <w:rFonts w:eastAsia="Times New Roman" w:cs="Times New Roman"/>
                <w:color w:val="000000"/>
                <w:sz w:val="18"/>
                <w:szCs w:val="18"/>
              </w:rPr>
              <w:t>J</w:t>
            </w:r>
          </w:p>
        </w:tc>
        <w:tc>
          <w:tcPr>
            <w:tcW w:w="1248" w:type="pct"/>
            <w:tcBorders>
              <w:top w:val="nil"/>
              <w:bottom w:val="nil"/>
            </w:tcBorders>
            <w:noWrap/>
            <w:vAlign w:val="bottom"/>
          </w:tcPr>
          <w:p w14:paraId="7625BCE3" w14:textId="3E8BE56B" w:rsidR="00C66682" w:rsidRPr="00C66682" w:rsidRDefault="00C66682" w:rsidP="000F1A32">
            <w:pPr>
              <w:ind w:right="836"/>
              <w:jc w:val="right"/>
              <w:rPr>
                <w:rFonts w:eastAsia="Times New Roman" w:cs="Times New Roman"/>
                <w:color w:val="000000"/>
                <w:sz w:val="18"/>
                <w:szCs w:val="18"/>
              </w:rPr>
            </w:pPr>
            <w:r w:rsidRPr="00C66682">
              <w:rPr>
                <w:rFonts w:eastAsia="Times New Roman" w:cs="Times New Roman"/>
                <w:color w:val="000000"/>
                <w:sz w:val="18"/>
                <w:szCs w:val="18"/>
              </w:rPr>
              <w:t>77,146</w:t>
            </w:r>
          </w:p>
        </w:tc>
        <w:tc>
          <w:tcPr>
            <w:tcW w:w="1115" w:type="pct"/>
            <w:tcBorders>
              <w:top w:val="nil"/>
              <w:bottom w:val="nil"/>
              <w:right w:val="nil"/>
            </w:tcBorders>
            <w:noWrap/>
            <w:vAlign w:val="bottom"/>
          </w:tcPr>
          <w:p w14:paraId="20CC40BF" w14:textId="7BA16FBA" w:rsidR="00C66682" w:rsidRPr="00C66682" w:rsidRDefault="00C66682" w:rsidP="000F1A32">
            <w:pPr>
              <w:ind w:right="836"/>
              <w:jc w:val="right"/>
              <w:rPr>
                <w:rFonts w:eastAsia="Times New Roman" w:cs="Times New Roman"/>
                <w:color w:val="000000"/>
                <w:sz w:val="18"/>
                <w:szCs w:val="18"/>
              </w:rPr>
            </w:pPr>
            <w:r w:rsidRPr="00C66682">
              <w:rPr>
                <w:rFonts w:eastAsia="Times New Roman" w:cs="Times New Roman"/>
                <w:color w:val="000000"/>
                <w:sz w:val="18"/>
                <w:szCs w:val="18"/>
              </w:rPr>
              <w:t>50,835</w:t>
            </w:r>
          </w:p>
        </w:tc>
      </w:tr>
      <w:tr w:rsidR="00C66682" w:rsidRPr="002E3A7E" w14:paraId="3E4F2660" w14:textId="77777777" w:rsidTr="00E873DB">
        <w:trPr>
          <w:trHeight w:val="20"/>
        </w:trPr>
        <w:tc>
          <w:tcPr>
            <w:tcW w:w="2052" w:type="pct"/>
            <w:tcBorders>
              <w:top w:val="nil"/>
              <w:left w:val="nil"/>
              <w:bottom w:val="nil"/>
            </w:tcBorders>
            <w:noWrap/>
          </w:tcPr>
          <w:p w14:paraId="6AF48C2C" w14:textId="12F36A48" w:rsidR="00C66682" w:rsidRPr="002E3A7E" w:rsidRDefault="00C66682" w:rsidP="000F1A32">
            <w:pPr>
              <w:jc w:val="right"/>
              <w:rPr>
                <w:rFonts w:eastAsia="Times New Roman" w:cs="Times New Roman"/>
                <w:sz w:val="18"/>
                <w:szCs w:val="18"/>
              </w:rPr>
            </w:pPr>
            <w:r w:rsidRPr="002E3A7E">
              <w:rPr>
                <w:rFonts w:eastAsia="Times New Roman" w:cs="Times New Roman"/>
                <w:sz w:val="18"/>
                <w:szCs w:val="18"/>
              </w:rPr>
              <w:t>Natural Gas</w:t>
            </w:r>
          </w:p>
        </w:tc>
        <w:tc>
          <w:tcPr>
            <w:tcW w:w="585" w:type="pct"/>
            <w:tcBorders>
              <w:top w:val="nil"/>
              <w:bottom w:val="nil"/>
            </w:tcBorders>
            <w:noWrap/>
          </w:tcPr>
          <w:p w14:paraId="42B272B0" w14:textId="6CB685D0" w:rsidR="00C66682" w:rsidRPr="002E3A7E" w:rsidRDefault="00C66682" w:rsidP="000F1A32">
            <w:pPr>
              <w:jc w:val="center"/>
              <w:rPr>
                <w:rFonts w:eastAsia="Times New Roman" w:cs="Times New Roman"/>
                <w:color w:val="000000"/>
                <w:sz w:val="18"/>
                <w:szCs w:val="18"/>
              </w:rPr>
            </w:pPr>
            <w:r w:rsidRPr="002E3A7E">
              <w:rPr>
                <w:rFonts w:eastAsia="Times New Roman" w:cs="Times New Roman"/>
                <w:color w:val="000000"/>
                <w:sz w:val="18"/>
                <w:szCs w:val="18"/>
              </w:rPr>
              <w:t>J</w:t>
            </w:r>
          </w:p>
        </w:tc>
        <w:tc>
          <w:tcPr>
            <w:tcW w:w="1248" w:type="pct"/>
            <w:tcBorders>
              <w:top w:val="nil"/>
              <w:bottom w:val="nil"/>
            </w:tcBorders>
            <w:noWrap/>
            <w:vAlign w:val="bottom"/>
          </w:tcPr>
          <w:p w14:paraId="52E6A9C5" w14:textId="1C29C3BF" w:rsidR="00C66682" w:rsidRPr="00C66682" w:rsidRDefault="00C66682" w:rsidP="000F1A32">
            <w:pPr>
              <w:ind w:right="836"/>
              <w:jc w:val="right"/>
              <w:rPr>
                <w:rFonts w:eastAsia="Times New Roman" w:cs="Times New Roman"/>
                <w:color w:val="000000"/>
                <w:sz w:val="18"/>
                <w:szCs w:val="18"/>
              </w:rPr>
            </w:pPr>
            <w:r w:rsidRPr="00C66682">
              <w:rPr>
                <w:rFonts w:eastAsia="Times New Roman" w:cs="Times New Roman"/>
                <w:color w:val="000000"/>
                <w:sz w:val="18"/>
                <w:szCs w:val="18"/>
              </w:rPr>
              <w:t>79,109</w:t>
            </w:r>
          </w:p>
        </w:tc>
        <w:tc>
          <w:tcPr>
            <w:tcW w:w="1115" w:type="pct"/>
            <w:tcBorders>
              <w:top w:val="nil"/>
              <w:bottom w:val="nil"/>
              <w:right w:val="nil"/>
            </w:tcBorders>
            <w:noWrap/>
            <w:vAlign w:val="bottom"/>
          </w:tcPr>
          <w:p w14:paraId="760BD09E" w14:textId="0A405369" w:rsidR="00C66682" w:rsidRPr="00C66682" w:rsidRDefault="00C66682" w:rsidP="000F1A32">
            <w:pPr>
              <w:ind w:right="836"/>
              <w:jc w:val="right"/>
              <w:rPr>
                <w:rFonts w:eastAsia="Times New Roman" w:cs="Times New Roman"/>
                <w:color w:val="000000"/>
                <w:sz w:val="18"/>
                <w:szCs w:val="18"/>
              </w:rPr>
            </w:pPr>
            <w:r w:rsidRPr="00C66682">
              <w:rPr>
                <w:rFonts w:eastAsia="Times New Roman" w:cs="Times New Roman"/>
                <w:color w:val="000000"/>
                <w:sz w:val="18"/>
                <w:szCs w:val="18"/>
              </w:rPr>
              <w:t>85,602</w:t>
            </w:r>
          </w:p>
        </w:tc>
      </w:tr>
      <w:tr w:rsidR="00C66682" w:rsidRPr="002E3A7E" w14:paraId="116CE6F3" w14:textId="77777777" w:rsidTr="00E873DB">
        <w:trPr>
          <w:trHeight w:val="20"/>
        </w:trPr>
        <w:tc>
          <w:tcPr>
            <w:tcW w:w="2052" w:type="pct"/>
            <w:tcBorders>
              <w:top w:val="nil"/>
              <w:left w:val="nil"/>
              <w:bottom w:val="nil"/>
            </w:tcBorders>
            <w:noWrap/>
          </w:tcPr>
          <w:p w14:paraId="7D7FF6C8" w14:textId="27B02687" w:rsidR="00C66682" w:rsidRPr="002E3A7E" w:rsidRDefault="00C66682" w:rsidP="000F1A32">
            <w:pPr>
              <w:jc w:val="right"/>
              <w:rPr>
                <w:rFonts w:eastAsia="Times New Roman" w:cs="Times New Roman"/>
                <w:sz w:val="18"/>
                <w:szCs w:val="18"/>
              </w:rPr>
            </w:pPr>
            <w:r w:rsidRPr="002E3A7E">
              <w:rPr>
                <w:rFonts w:eastAsia="Times New Roman" w:cs="Times New Roman"/>
                <w:sz w:val="18"/>
                <w:szCs w:val="18"/>
              </w:rPr>
              <w:t>Electricity</w:t>
            </w:r>
          </w:p>
        </w:tc>
        <w:tc>
          <w:tcPr>
            <w:tcW w:w="585" w:type="pct"/>
            <w:tcBorders>
              <w:top w:val="nil"/>
              <w:bottom w:val="nil"/>
            </w:tcBorders>
            <w:noWrap/>
          </w:tcPr>
          <w:p w14:paraId="312B428E" w14:textId="16A2C1B3" w:rsidR="00C66682" w:rsidRPr="002E3A7E" w:rsidRDefault="00C66682" w:rsidP="000F1A32">
            <w:pPr>
              <w:jc w:val="center"/>
              <w:rPr>
                <w:rFonts w:eastAsia="Times New Roman" w:cs="Times New Roman"/>
                <w:color w:val="000000"/>
                <w:sz w:val="18"/>
                <w:szCs w:val="18"/>
              </w:rPr>
            </w:pPr>
            <w:r w:rsidRPr="002E3A7E">
              <w:rPr>
                <w:rFonts w:eastAsia="Times New Roman" w:cs="Times New Roman"/>
                <w:color w:val="000000"/>
                <w:sz w:val="18"/>
                <w:szCs w:val="18"/>
              </w:rPr>
              <w:t>J</w:t>
            </w:r>
          </w:p>
        </w:tc>
        <w:tc>
          <w:tcPr>
            <w:tcW w:w="1248" w:type="pct"/>
            <w:tcBorders>
              <w:top w:val="nil"/>
              <w:bottom w:val="nil"/>
            </w:tcBorders>
            <w:noWrap/>
            <w:vAlign w:val="bottom"/>
          </w:tcPr>
          <w:p w14:paraId="63A50AA4" w14:textId="3C443A41" w:rsidR="00C66682" w:rsidRPr="00C66682" w:rsidRDefault="00C66682" w:rsidP="000F1A32">
            <w:pPr>
              <w:ind w:right="836"/>
              <w:jc w:val="right"/>
              <w:rPr>
                <w:rFonts w:eastAsia="Times New Roman" w:cs="Times New Roman"/>
                <w:color w:val="000000"/>
                <w:sz w:val="18"/>
                <w:szCs w:val="18"/>
              </w:rPr>
            </w:pPr>
            <w:r w:rsidRPr="00C66682">
              <w:rPr>
                <w:rFonts w:eastAsia="Times New Roman" w:cs="Times New Roman"/>
                <w:color w:val="000000"/>
                <w:sz w:val="18"/>
                <w:szCs w:val="18"/>
              </w:rPr>
              <w:t>11,193</w:t>
            </w:r>
          </w:p>
        </w:tc>
        <w:tc>
          <w:tcPr>
            <w:tcW w:w="1115" w:type="pct"/>
            <w:tcBorders>
              <w:top w:val="nil"/>
              <w:bottom w:val="nil"/>
              <w:right w:val="nil"/>
            </w:tcBorders>
            <w:noWrap/>
            <w:vAlign w:val="bottom"/>
          </w:tcPr>
          <w:p w14:paraId="4D96133D" w14:textId="3FF03D8B" w:rsidR="00C66682" w:rsidRPr="00C66682" w:rsidRDefault="00C66682" w:rsidP="000F1A32">
            <w:pPr>
              <w:ind w:right="836"/>
              <w:jc w:val="right"/>
              <w:rPr>
                <w:rFonts w:eastAsia="Times New Roman" w:cs="Times New Roman"/>
                <w:color w:val="000000"/>
                <w:sz w:val="18"/>
                <w:szCs w:val="18"/>
              </w:rPr>
            </w:pPr>
            <w:r w:rsidRPr="00C66682">
              <w:rPr>
                <w:rFonts w:eastAsia="Times New Roman" w:cs="Times New Roman"/>
                <w:color w:val="000000"/>
                <w:sz w:val="18"/>
                <w:szCs w:val="18"/>
              </w:rPr>
              <w:t>8,467</w:t>
            </w:r>
          </w:p>
        </w:tc>
      </w:tr>
      <w:tr w:rsidR="00DD684D" w:rsidRPr="002E3A7E" w14:paraId="3EC0ABC7" w14:textId="77777777" w:rsidTr="00E873DB">
        <w:trPr>
          <w:trHeight w:val="20"/>
        </w:trPr>
        <w:tc>
          <w:tcPr>
            <w:tcW w:w="2052" w:type="pct"/>
            <w:tcBorders>
              <w:top w:val="nil"/>
              <w:left w:val="nil"/>
              <w:bottom w:val="nil"/>
            </w:tcBorders>
            <w:noWrap/>
          </w:tcPr>
          <w:p w14:paraId="7CD40B2C" w14:textId="47244D54" w:rsidR="00DD684D" w:rsidRPr="002E3A7E" w:rsidRDefault="00DD684D" w:rsidP="000F1A32">
            <w:pPr>
              <w:jc w:val="left"/>
              <w:rPr>
                <w:rFonts w:eastAsia="Times New Roman" w:cs="Times New Roman"/>
                <w:sz w:val="18"/>
                <w:szCs w:val="18"/>
              </w:rPr>
            </w:pPr>
            <w:r w:rsidRPr="00B45328">
              <w:rPr>
                <w:rFonts w:eastAsia="Times New Roman" w:cs="Times New Roman"/>
                <w:b/>
                <w:bCs/>
                <w:color w:val="000000"/>
                <w:sz w:val="18"/>
              </w:rPr>
              <w:t>Catalysts</w:t>
            </w:r>
          </w:p>
        </w:tc>
        <w:tc>
          <w:tcPr>
            <w:tcW w:w="585" w:type="pct"/>
            <w:tcBorders>
              <w:top w:val="nil"/>
              <w:bottom w:val="nil"/>
            </w:tcBorders>
            <w:noWrap/>
          </w:tcPr>
          <w:p w14:paraId="6DBD9BC1" w14:textId="77777777" w:rsidR="00DD684D" w:rsidRPr="002E3A7E" w:rsidRDefault="00DD684D" w:rsidP="000F1A32">
            <w:pPr>
              <w:jc w:val="center"/>
              <w:rPr>
                <w:rFonts w:eastAsia="Times New Roman" w:cs="Times New Roman"/>
                <w:color w:val="000000"/>
                <w:sz w:val="18"/>
                <w:szCs w:val="18"/>
              </w:rPr>
            </w:pPr>
          </w:p>
        </w:tc>
        <w:tc>
          <w:tcPr>
            <w:tcW w:w="1248" w:type="pct"/>
            <w:tcBorders>
              <w:top w:val="nil"/>
              <w:bottom w:val="nil"/>
            </w:tcBorders>
            <w:noWrap/>
          </w:tcPr>
          <w:p w14:paraId="1E0D3639" w14:textId="77777777" w:rsidR="00DD684D" w:rsidRPr="002E3A7E" w:rsidRDefault="00DD684D" w:rsidP="000F1A32">
            <w:pPr>
              <w:ind w:right="836"/>
              <w:jc w:val="right"/>
              <w:rPr>
                <w:rFonts w:cs="Times New Roman"/>
                <w:color w:val="000000"/>
                <w:sz w:val="18"/>
                <w:szCs w:val="18"/>
              </w:rPr>
            </w:pPr>
          </w:p>
        </w:tc>
        <w:tc>
          <w:tcPr>
            <w:tcW w:w="1115" w:type="pct"/>
            <w:tcBorders>
              <w:top w:val="nil"/>
              <w:bottom w:val="nil"/>
              <w:right w:val="nil"/>
            </w:tcBorders>
            <w:noWrap/>
          </w:tcPr>
          <w:p w14:paraId="7BE5ECF7" w14:textId="77777777" w:rsidR="00DD684D" w:rsidRPr="002E3A7E" w:rsidRDefault="00DD684D" w:rsidP="000F1A32">
            <w:pPr>
              <w:ind w:right="836"/>
              <w:jc w:val="right"/>
              <w:rPr>
                <w:rFonts w:cs="Times New Roman"/>
                <w:color w:val="000000"/>
                <w:sz w:val="18"/>
                <w:szCs w:val="18"/>
              </w:rPr>
            </w:pPr>
          </w:p>
        </w:tc>
      </w:tr>
      <w:tr w:rsidR="002E3A7E" w:rsidRPr="002E3A7E" w14:paraId="7066AB01" w14:textId="77777777" w:rsidTr="00E873DB">
        <w:trPr>
          <w:trHeight w:val="20"/>
        </w:trPr>
        <w:tc>
          <w:tcPr>
            <w:tcW w:w="2052" w:type="pct"/>
            <w:tcBorders>
              <w:top w:val="nil"/>
              <w:left w:val="nil"/>
              <w:bottom w:val="nil"/>
            </w:tcBorders>
            <w:noWrap/>
          </w:tcPr>
          <w:p w14:paraId="4A224221" w14:textId="14B8C4B4" w:rsidR="002E3A7E" w:rsidRPr="002E3A7E" w:rsidRDefault="002E3A7E" w:rsidP="000F1A32">
            <w:pPr>
              <w:jc w:val="right"/>
              <w:rPr>
                <w:rFonts w:eastAsia="Times New Roman" w:cs="Times New Roman"/>
                <w:b/>
                <w:bCs/>
                <w:sz w:val="18"/>
                <w:szCs w:val="18"/>
              </w:rPr>
            </w:pPr>
            <w:r w:rsidRPr="002E3A7E">
              <w:rPr>
                <w:rFonts w:eastAsia="Times New Roman" w:cs="Times New Roman"/>
                <w:sz w:val="18"/>
                <w:szCs w:val="18"/>
              </w:rPr>
              <w:t>Hydrotreating catalyst</w:t>
            </w:r>
          </w:p>
        </w:tc>
        <w:tc>
          <w:tcPr>
            <w:tcW w:w="585" w:type="pct"/>
            <w:tcBorders>
              <w:top w:val="nil"/>
              <w:bottom w:val="nil"/>
            </w:tcBorders>
            <w:noWrap/>
          </w:tcPr>
          <w:p w14:paraId="1F4FD27E" w14:textId="0F5EE7B0" w:rsidR="002E3A7E" w:rsidRPr="002E3A7E" w:rsidRDefault="002E3A7E" w:rsidP="000F1A32">
            <w:pPr>
              <w:jc w:val="center"/>
              <w:rPr>
                <w:rFonts w:eastAsia="Times New Roman" w:cs="Times New Roman"/>
                <w:color w:val="000000"/>
                <w:sz w:val="18"/>
                <w:szCs w:val="18"/>
              </w:rPr>
            </w:pPr>
            <w:r w:rsidRPr="002E3A7E">
              <w:rPr>
                <w:rFonts w:eastAsia="Times New Roman" w:cs="Times New Roman"/>
                <w:color w:val="000000"/>
                <w:sz w:val="18"/>
                <w:szCs w:val="18"/>
              </w:rPr>
              <w:t>mg</w:t>
            </w:r>
          </w:p>
        </w:tc>
        <w:tc>
          <w:tcPr>
            <w:tcW w:w="1248" w:type="pct"/>
            <w:tcBorders>
              <w:top w:val="nil"/>
              <w:bottom w:val="nil"/>
            </w:tcBorders>
            <w:noWrap/>
          </w:tcPr>
          <w:p w14:paraId="544AF1D5" w14:textId="46EB0A8D" w:rsidR="002E3A7E" w:rsidRPr="002E3A7E" w:rsidRDefault="002E3A7E" w:rsidP="000F1A32">
            <w:pPr>
              <w:ind w:right="836"/>
              <w:jc w:val="right"/>
              <w:rPr>
                <w:rFonts w:eastAsia="Times New Roman" w:cs="Times New Roman"/>
                <w:color w:val="000000"/>
                <w:sz w:val="18"/>
                <w:szCs w:val="18"/>
              </w:rPr>
            </w:pPr>
            <w:r w:rsidRPr="002E3A7E">
              <w:rPr>
                <w:rFonts w:cs="Times New Roman"/>
                <w:color w:val="000000"/>
                <w:sz w:val="18"/>
                <w:szCs w:val="18"/>
              </w:rPr>
              <w:t>3.17</w:t>
            </w:r>
          </w:p>
        </w:tc>
        <w:tc>
          <w:tcPr>
            <w:tcW w:w="1115" w:type="pct"/>
            <w:tcBorders>
              <w:top w:val="nil"/>
              <w:bottom w:val="nil"/>
              <w:right w:val="nil"/>
            </w:tcBorders>
            <w:noWrap/>
          </w:tcPr>
          <w:p w14:paraId="5A2C4BD9" w14:textId="4200A53B" w:rsidR="002E3A7E" w:rsidRPr="002E3A7E" w:rsidRDefault="002E3A7E" w:rsidP="000F1A32">
            <w:pPr>
              <w:ind w:right="836"/>
              <w:jc w:val="right"/>
              <w:rPr>
                <w:rFonts w:eastAsia="Times New Roman" w:cs="Times New Roman"/>
                <w:color w:val="000000"/>
                <w:sz w:val="18"/>
                <w:szCs w:val="18"/>
              </w:rPr>
            </w:pPr>
            <w:r w:rsidRPr="002E3A7E">
              <w:rPr>
                <w:rFonts w:cs="Times New Roman"/>
                <w:color w:val="000000"/>
                <w:sz w:val="18"/>
                <w:szCs w:val="18"/>
              </w:rPr>
              <w:t>2.97</w:t>
            </w:r>
          </w:p>
        </w:tc>
      </w:tr>
      <w:tr w:rsidR="002E3A7E" w:rsidRPr="002E3A7E" w14:paraId="7628C296" w14:textId="77777777" w:rsidTr="00E873DB">
        <w:trPr>
          <w:trHeight w:val="20"/>
        </w:trPr>
        <w:tc>
          <w:tcPr>
            <w:tcW w:w="2052" w:type="pct"/>
            <w:tcBorders>
              <w:top w:val="nil"/>
              <w:left w:val="nil"/>
              <w:bottom w:val="nil"/>
            </w:tcBorders>
            <w:noWrap/>
          </w:tcPr>
          <w:p w14:paraId="2DBB4A23" w14:textId="2DCF9264" w:rsidR="002E3A7E" w:rsidRPr="002E3A7E" w:rsidRDefault="002E3A7E" w:rsidP="000F1A32">
            <w:pPr>
              <w:jc w:val="right"/>
              <w:rPr>
                <w:rFonts w:eastAsia="Times New Roman" w:cs="Times New Roman"/>
                <w:b/>
                <w:bCs/>
                <w:sz w:val="18"/>
                <w:szCs w:val="18"/>
              </w:rPr>
            </w:pPr>
            <w:r w:rsidRPr="002E3A7E">
              <w:rPr>
                <w:rFonts w:eastAsia="Times New Roman" w:cs="Times New Roman"/>
                <w:sz w:val="18"/>
                <w:szCs w:val="18"/>
              </w:rPr>
              <w:t>Isomerization/Hydrocracking catalyst</w:t>
            </w:r>
          </w:p>
        </w:tc>
        <w:tc>
          <w:tcPr>
            <w:tcW w:w="585" w:type="pct"/>
            <w:tcBorders>
              <w:top w:val="nil"/>
              <w:bottom w:val="nil"/>
            </w:tcBorders>
            <w:noWrap/>
          </w:tcPr>
          <w:p w14:paraId="0517F576" w14:textId="0F2FC486" w:rsidR="002E3A7E" w:rsidRPr="002E3A7E" w:rsidRDefault="002E3A7E" w:rsidP="000F1A32">
            <w:pPr>
              <w:jc w:val="center"/>
              <w:rPr>
                <w:rFonts w:eastAsia="Times New Roman" w:cs="Times New Roman"/>
                <w:color w:val="000000"/>
                <w:sz w:val="18"/>
                <w:szCs w:val="18"/>
              </w:rPr>
            </w:pPr>
            <w:r w:rsidRPr="002E3A7E">
              <w:rPr>
                <w:rFonts w:eastAsia="Times New Roman" w:cs="Times New Roman"/>
                <w:color w:val="000000"/>
                <w:sz w:val="18"/>
                <w:szCs w:val="18"/>
              </w:rPr>
              <w:t>mg</w:t>
            </w:r>
          </w:p>
        </w:tc>
        <w:tc>
          <w:tcPr>
            <w:tcW w:w="1248" w:type="pct"/>
            <w:tcBorders>
              <w:top w:val="nil"/>
              <w:bottom w:val="nil"/>
            </w:tcBorders>
            <w:noWrap/>
          </w:tcPr>
          <w:p w14:paraId="0330740E" w14:textId="5151B335" w:rsidR="002E3A7E" w:rsidRPr="002E3A7E" w:rsidRDefault="00FD6AED" w:rsidP="000F1A32">
            <w:pPr>
              <w:ind w:right="836"/>
              <w:jc w:val="right"/>
              <w:rPr>
                <w:rFonts w:eastAsia="Times New Roman" w:cs="Times New Roman"/>
                <w:color w:val="000000"/>
                <w:sz w:val="18"/>
                <w:szCs w:val="18"/>
              </w:rPr>
            </w:pPr>
            <w:r>
              <w:rPr>
                <w:rFonts w:cs="Times New Roman"/>
                <w:color w:val="000000"/>
                <w:sz w:val="18"/>
                <w:szCs w:val="18"/>
              </w:rPr>
              <w:t>0.52</w:t>
            </w:r>
          </w:p>
        </w:tc>
        <w:tc>
          <w:tcPr>
            <w:tcW w:w="1115" w:type="pct"/>
            <w:tcBorders>
              <w:top w:val="nil"/>
              <w:bottom w:val="nil"/>
              <w:right w:val="nil"/>
            </w:tcBorders>
            <w:noWrap/>
          </w:tcPr>
          <w:p w14:paraId="74E0FBCC" w14:textId="7EE0F275" w:rsidR="002E3A7E" w:rsidRPr="002E3A7E" w:rsidRDefault="00FD6AED" w:rsidP="000F1A32">
            <w:pPr>
              <w:ind w:right="836"/>
              <w:jc w:val="right"/>
              <w:rPr>
                <w:rFonts w:eastAsia="Times New Roman" w:cs="Times New Roman"/>
                <w:color w:val="000000"/>
                <w:sz w:val="18"/>
                <w:szCs w:val="18"/>
              </w:rPr>
            </w:pPr>
            <w:r>
              <w:rPr>
                <w:rFonts w:cs="Times New Roman"/>
                <w:color w:val="000000"/>
                <w:sz w:val="18"/>
                <w:szCs w:val="18"/>
              </w:rPr>
              <w:t>0.53</w:t>
            </w:r>
          </w:p>
        </w:tc>
      </w:tr>
      <w:tr w:rsidR="002E3A7E" w:rsidRPr="002E3A7E" w14:paraId="166EDFA5" w14:textId="77777777" w:rsidTr="00E873DB">
        <w:trPr>
          <w:trHeight w:val="20"/>
        </w:trPr>
        <w:tc>
          <w:tcPr>
            <w:tcW w:w="2052" w:type="pct"/>
            <w:tcBorders>
              <w:top w:val="nil"/>
              <w:left w:val="nil"/>
              <w:bottom w:val="nil"/>
            </w:tcBorders>
            <w:noWrap/>
          </w:tcPr>
          <w:p w14:paraId="4AB3DCB3" w14:textId="7CE432E9" w:rsidR="002E3A7E" w:rsidRPr="00DD684D" w:rsidRDefault="002E3A7E" w:rsidP="000F1A32">
            <w:pPr>
              <w:jc w:val="left"/>
              <w:rPr>
                <w:rFonts w:eastAsia="Times New Roman" w:cs="Times New Roman"/>
                <w:b/>
                <w:bCs/>
                <w:sz w:val="18"/>
                <w:szCs w:val="18"/>
              </w:rPr>
            </w:pPr>
            <w:r w:rsidRPr="002E3A7E">
              <w:rPr>
                <w:rFonts w:eastAsia="Times New Roman" w:cs="Times New Roman"/>
                <w:b/>
                <w:sz w:val="18"/>
                <w:szCs w:val="18"/>
              </w:rPr>
              <w:t>Water</w:t>
            </w:r>
          </w:p>
        </w:tc>
        <w:tc>
          <w:tcPr>
            <w:tcW w:w="585" w:type="pct"/>
            <w:tcBorders>
              <w:top w:val="nil"/>
              <w:bottom w:val="nil"/>
            </w:tcBorders>
            <w:noWrap/>
          </w:tcPr>
          <w:p w14:paraId="712695DE" w14:textId="10C8C2B6" w:rsidR="002E3A7E" w:rsidRPr="002E3A7E" w:rsidRDefault="002E3A7E" w:rsidP="000F1A32">
            <w:pPr>
              <w:jc w:val="center"/>
              <w:rPr>
                <w:rFonts w:eastAsia="Times New Roman" w:cs="Times New Roman"/>
                <w:color w:val="000000"/>
                <w:sz w:val="18"/>
                <w:szCs w:val="18"/>
              </w:rPr>
            </w:pPr>
            <w:r w:rsidRPr="002E3A7E">
              <w:rPr>
                <w:rFonts w:eastAsia="Times New Roman" w:cs="Times New Roman"/>
                <w:color w:val="000000"/>
                <w:sz w:val="18"/>
                <w:szCs w:val="18"/>
              </w:rPr>
              <w:t>L</w:t>
            </w:r>
          </w:p>
        </w:tc>
        <w:tc>
          <w:tcPr>
            <w:tcW w:w="1248" w:type="pct"/>
            <w:tcBorders>
              <w:top w:val="nil"/>
              <w:bottom w:val="nil"/>
            </w:tcBorders>
            <w:noWrap/>
          </w:tcPr>
          <w:p w14:paraId="7050537E" w14:textId="00E271E0" w:rsidR="002E3A7E" w:rsidRPr="002E3A7E" w:rsidRDefault="002E3A7E" w:rsidP="000F1A32">
            <w:pPr>
              <w:ind w:right="836"/>
              <w:jc w:val="right"/>
              <w:rPr>
                <w:rFonts w:eastAsia="Times New Roman" w:cs="Times New Roman"/>
                <w:color w:val="000000"/>
                <w:sz w:val="18"/>
                <w:szCs w:val="18"/>
              </w:rPr>
            </w:pPr>
            <w:r w:rsidRPr="002E3A7E">
              <w:rPr>
                <w:rFonts w:cs="Times New Roman"/>
                <w:color w:val="000000"/>
                <w:sz w:val="18"/>
                <w:szCs w:val="18"/>
              </w:rPr>
              <w:t>0.21</w:t>
            </w:r>
          </w:p>
        </w:tc>
        <w:tc>
          <w:tcPr>
            <w:tcW w:w="1115" w:type="pct"/>
            <w:tcBorders>
              <w:top w:val="nil"/>
              <w:bottom w:val="nil"/>
              <w:right w:val="nil"/>
            </w:tcBorders>
            <w:noWrap/>
          </w:tcPr>
          <w:p w14:paraId="549FEDB3" w14:textId="0A3742DE" w:rsidR="002E3A7E" w:rsidRPr="00FD6AED" w:rsidRDefault="002E3A7E" w:rsidP="000F1A32">
            <w:pPr>
              <w:ind w:right="836"/>
              <w:jc w:val="right"/>
              <w:rPr>
                <w:rFonts w:eastAsia="Times New Roman" w:cs="Times New Roman"/>
                <w:sz w:val="18"/>
                <w:szCs w:val="18"/>
              </w:rPr>
            </w:pPr>
            <w:r w:rsidRPr="00FD6AED">
              <w:rPr>
                <w:rFonts w:cs="Times New Roman"/>
                <w:sz w:val="18"/>
                <w:szCs w:val="18"/>
              </w:rPr>
              <w:t>0.20</w:t>
            </w:r>
          </w:p>
        </w:tc>
      </w:tr>
      <w:tr w:rsidR="002E3A7E" w:rsidRPr="002E3A7E" w14:paraId="7BB000EE" w14:textId="77777777" w:rsidTr="00E873DB">
        <w:trPr>
          <w:trHeight w:val="20"/>
        </w:trPr>
        <w:tc>
          <w:tcPr>
            <w:tcW w:w="2052" w:type="pct"/>
            <w:tcBorders>
              <w:left w:val="nil"/>
              <w:bottom w:val="nil"/>
            </w:tcBorders>
            <w:noWrap/>
            <w:hideMark/>
          </w:tcPr>
          <w:p w14:paraId="560AF932" w14:textId="77777777" w:rsidR="002E3A7E" w:rsidRPr="002E3A7E" w:rsidRDefault="002E3A7E" w:rsidP="000F1A32">
            <w:pPr>
              <w:jc w:val="left"/>
              <w:rPr>
                <w:rFonts w:eastAsia="Times New Roman" w:cs="Times New Roman"/>
                <w:b/>
                <w:bCs/>
                <w:sz w:val="18"/>
                <w:szCs w:val="18"/>
              </w:rPr>
            </w:pPr>
            <w:r w:rsidRPr="002E3A7E">
              <w:rPr>
                <w:rFonts w:eastAsia="Times New Roman" w:cs="Times New Roman"/>
                <w:b/>
                <w:bCs/>
                <w:sz w:val="18"/>
                <w:szCs w:val="18"/>
              </w:rPr>
              <w:t>Products</w:t>
            </w:r>
          </w:p>
        </w:tc>
        <w:tc>
          <w:tcPr>
            <w:tcW w:w="585" w:type="pct"/>
            <w:tcBorders>
              <w:bottom w:val="nil"/>
            </w:tcBorders>
            <w:noWrap/>
            <w:hideMark/>
          </w:tcPr>
          <w:p w14:paraId="7E06E93F" w14:textId="2CD149E5" w:rsidR="002E3A7E" w:rsidRPr="002E3A7E" w:rsidRDefault="002E3A7E" w:rsidP="000F1A32">
            <w:pPr>
              <w:jc w:val="center"/>
              <w:rPr>
                <w:rFonts w:eastAsia="Times New Roman" w:cs="Times New Roman"/>
                <w:color w:val="000000"/>
                <w:sz w:val="18"/>
                <w:szCs w:val="18"/>
              </w:rPr>
            </w:pPr>
          </w:p>
        </w:tc>
        <w:tc>
          <w:tcPr>
            <w:tcW w:w="1248" w:type="pct"/>
            <w:tcBorders>
              <w:bottom w:val="nil"/>
            </w:tcBorders>
            <w:noWrap/>
            <w:hideMark/>
          </w:tcPr>
          <w:p w14:paraId="6A2F2047"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 </w:t>
            </w:r>
          </w:p>
        </w:tc>
        <w:tc>
          <w:tcPr>
            <w:tcW w:w="1115" w:type="pct"/>
            <w:tcBorders>
              <w:bottom w:val="nil"/>
              <w:right w:val="nil"/>
            </w:tcBorders>
            <w:noWrap/>
            <w:hideMark/>
          </w:tcPr>
          <w:p w14:paraId="2CF63084"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 </w:t>
            </w:r>
          </w:p>
        </w:tc>
      </w:tr>
      <w:tr w:rsidR="002E3A7E" w:rsidRPr="002E3A7E" w14:paraId="30D30431" w14:textId="77777777" w:rsidTr="00E873DB">
        <w:trPr>
          <w:trHeight w:val="20"/>
        </w:trPr>
        <w:tc>
          <w:tcPr>
            <w:tcW w:w="2052" w:type="pct"/>
            <w:tcBorders>
              <w:top w:val="nil"/>
              <w:left w:val="nil"/>
              <w:bottom w:val="nil"/>
            </w:tcBorders>
            <w:noWrap/>
            <w:hideMark/>
          </w:tcPr>
          <w:p w14:paraId="2A20A785" w14:textId="77777777" w:rsidR="002E3A7E" w:rsidRPr="002E3A7E" w:rsidRDefault="002E3A7E" w:rsidP="000F1A32">
            <w:pPr>
              <w:jc w:val="right"/>
              <w:rPr>
                <w:rFonts w:eastAsia="Times New Roman" w:cs="Times New Roman"/>
                <w:sz w:val="18"/>
                <w:szCs w:val="18"/>
              </w:rPr>
            </w:pPr>
            <w:r w:rsidRPr="002E3A7E">
              <w:rPr>
                <w:rFonts w:eastAsia="Times New Roman" w:cs="Times New Roman"/>
                <w:sz w:val="18"/>
                <w:szCs w:val="18"/>
              </w:rPr>
              <w:t>Marine/Diesel</w:t>
            </w:r>
          </w:p>
        </w:tc>
        <w:tc>
          <w:tcPr>
            <w:tcW w:w="585" w:type="pct"/>
            <w:tcBorders>
              <w:top w:val="nil"/>
              <w:bottom w:val="nil"/>
            </w:tcBorders>
            <w:noWrap/>
            <w:hideMark/>
          </w:tcPr>
          <w:p w14:paraId="41C752F0" w14:textId="168E175A" w:rsidR="002E3A7E" w:rsidRPr="002E3A7E" w:rsidRDefault="002E3A7E" w:rsidP="000F1A32">
            <w:pPr>
              <w:jc w:val="center"/>
              <w:rPr>
                <w:rFonts w:eastAsia="Times New Roman" w:cs="Times New Roman"/>
                <w:color w:val="000000"/>
                <w:sz w:val="18"/>
                <w:szCs w:val="18"/>
              </w:rPr>
            </w:pPr>
            <w:r w:rsidRPr="002E3A7E">
              <w:rPr>
                <w:rFonts w:eastAsia="Times New Roman" w:cs="Times New Roman"/>
                <w:color w:val="000000"/>
                <w:sz w:val="18"/>
                <w:szCs w:val="18"/>
              </w:rPr>
              <w:t>MJ</w:t>
            </w:r>
          </w:p>
        </w:tc>
        <w:tc>
          <w:tcPr>
            <w:tcW w:w="1248" w:type="pct"/>
            <w:tcBorders>
              <w:top w:val="nil"/>
              <w:bottom w:val="nil"/>
            </w:tcBorders>
            <w:noWrap/>
            <w:hideMark/>
          </w:tcPr>
          <w:p w14:paraId="16C58ED1"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0.01</w:t>
            </w:r>
          </w:p>
        </w:tc>
        <w:tc>
          <w:tcPr>
            <w:tcW w:w="1115" w:type="pct"/>
            <w:tcBorders>
              <w:top w:val="nil"/>
              <w:bottom w:val="nil"/>
              <w:right w:val="nil"/>
            </w:tcBorders>
            <w:noWrap/>
            <w:hideMark/>
          </w:tcPr>
          <w:p w14:paraId="3404A24C"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0.18</w:t>
            </w:r>
          </w:p>
        </w:tc>
      </w:tr>
      <w:tr w:rsidR="002E3A7E" w:rsidRPr="002E3A7E" w14:paraId="0A81F385" w14:textId="77777777" w:rsidTr="00E873DB">
        <w:trPr>
          <w:trHeight w:val="20"/>
        </w:trPr>
        <w:tc>
          <w:tcPr>
            <w:tcW w:w="2052" w:type="pct"/>
            <w:tcBorders>
              <w:top w:val="nil"/>
              <w:left w:val="nil"/>
              <w:bottom w:val="nil"/>
            </w:tcBorders>
            <w:noWrap/>
            <w:hideMark/>
          </w:tcPr>
          <w:p w14:paraId="2A54A9B0" w14:textId="77777777" w:rsidR="002E3A7E" w:rsidRPr="002E3A7E" w:rsidRDefault="002E3A7E" w:rsidP="000F1A32">
            <w:pPr>
              <w:jc w:val="right"/>
              <w:rPr>
                <w:rFonts w:eastAsia="Times New Roman" w:cs="Times New Roman"/>
                <w:sz w:val="18"/>
                <w:szCs w:val="18"/>
              </w:rPr>
            </w:pPr>
            <w:r w:rsidRPr="002E3A7E">
              <w:rPr>
                <w:rFonts w:eastAsia="Times New Roman" w:cs="Times New Roman"/>
                <w:sz w:val="18"/>
                <w:szCs w:val="18"/>
              </w:rPr>
              <w:t>Jet</w:t>
            </w:r>
          </w:p>
        </w:tc>
        <w:tc>
          <w:tcPr>
            <w:tcW w:w="585" w:type="pct"/>
            <w:tcBorders>
              <w:top w:val="nil"/>
              <w:bottom w:val="nil"/>
            </w:tcBorders>
            <w:noWrap/>
            <w:hideMark/>
          </w:tcPr>
          <w:p w14:paraId="0CFE8F45" w14:textId="77C9B41E" w:rsidR="002E3A7E" w:rsidRPr="002E3A7E" w:rsidRDefault="002E3A7E" w:rsidP="000F1A32">
            <w:pPr>
              <w:jc w:val="center"/>
              <w:rPr>
                <w:rFonts w:eastAsia="Times New Roman" w:cs="Times New Roman"/>
                <w:color w:val="000000"/>
                <w:sz w:val="18"/>
                <w:szCs w:val="18"/>
              </w:rPr>
            </w:pPr>
            <w:r w:rsidRPr="002E3A7E">
              <w:rPr>
                <w:rFonts w:eastAsia="Times New Roman" w:cs="Times New Roman"/>
                <w:color w:val="000000"/>
                <w:sz w:val="18"/>
                <w:szCs w:val="18"/>
              </w:rPr>
              <w:t>MJ</w:t>
            </w:r>
          </w:p>
        </w:tc>
        <w:tc>
          <w:tcPr>
            <w:tcW w:w="1248" w:type="pct"/>
            <w:tcBorders>
              <w:top w:val="nil"/>
              <w:bottom w:val="nil"/>
            </w:tcBorders>
            <w:noWrap/>
            <w:hideMark/>
          </w:tcPr>
          <w:p w14:paraId="1CCB04BD"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0.69</w:t>
            </w:r>
          </w:p>
        </w:tc>
        <w:tc>
          <w:tcPr>
            <w:tcW w:w="1115" w:type="pct"/>
            <w:tcBorders>
              <w:top w:val="nil"/>
              <w:bottom w:val="nil"/>
              <w:right w:val="nil"/>
            </w:tcBorders>
            <w:noWrap/>
            <w:hideMark/>
          </w:tcPr>
          <w:p w14:paraId="338182C1"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0.48</w:t>
            </w:r>
          </w:p>
        </w:tc>
      </w:tr>
      <w:tr w:rsidR="002E3A7E" w:rsidRPr="002E3A7E" w14:paraId="0935B76E" w14:textId="77777777" w:rsidTr="00E873DB">
        <w:trPr>
          <w:trHeight w:val="20"/>
        </w:trPr>
        <w:tc>
          <w:tcPr>
            <w:tcW w:w="2052" w:type="pct"/>
            <w:tcBorders>
              <w:top w:val="nil"/>
              <w:left w:val="nil"/>
              <w:bottom w:val="nil"/>
            </w:tcBorders>
            <w:noWrap/>
            <w:hideMark/>
          </w:tcPr>
          <w:p w14:paraId="3667DAC8" w14:textId="77777777" w:rsidR="002E3A7E" w:rsidRPr="002E3A7E" w:rsidRDefault="002E3A7E" w:rsidP="000F1A32">
            <w:pPr>
              <w:jc w:val="right"/>
              <w:rPr>
                <w:rFonts w:eastAsia="Times New Roman" w:cs="Times New Roman"/>
                <w:sz w:val="18"/>
                <w:szCs w:val="18"/>
              </w:rPr>
            </w:pPr>
            <w:r w:rsidRPr="002E3A7E">
              <w:rPr>
                <w:rFonts w:eastAsia="Times New Roman" w:cs="Times New Roman"/>
                <w:sz w:val="18"/>
                <w:szCs w:val="18"/>
              </w:rPr>
              <w:t>Gasoline</w:t>
            </w:r>
          </w:p>
        </w:tc>
        <w:tc>
          <w:tcPr>
            <w:tcW w:w="585" w:type="pct"/>
            <w:tcBorders>
              <w:top w:val="nil"/>
              <w:bottom w:val="nil"/>
            </w:tcBorders>
            <w:noWrap/>
            <w:hideMark/>
          </w:tcPr>
          <w:p w14:paraId="4940FD9A" w14:textId="4D31C6A3" w:rsidR="002E3A7E" w:rsidRPr="002E3A7E" w:rsidRDefault="002E3A7E" w:rsidP="000F1A32">
            <w:pPr>
              <w:jc w:val="center"/>
              <w:rPr>
                <w:rFonts w:eastAsia="Times New Roman" w:cs="Times New Roman"/>
                <w:color w:val="000000"/>
                <w:sz w:val="18"/>
                <w:szCs w:val="18"/>
              </w:rPr>
            </w:pPr>
            <w:r w:rsidRPr="002E3A7E">
              <w:rPr>
                <w:rFonts w:eastAsia="Times New Roman" w:cs="Times New Roman"/>
                <w:color w:val="000000"/>
                <w:sz w:val="18"/>
                <w:szCs w:val="18"/>
              </w:rPr>
              <w:t>MJ</w:t>
            </w:r>
          </w:p>
        </w:tc>
        <w:tc>
          <w:tcPr>
            <w:tcW w:w="1248" w:type="pct"/>
            <w:tcBorders>
              <w:top w:val="nil"/>
              <w:bottom w:val="nil"/>
            </w:tcBorders>
            <w:noWrap/>
            <w:hideMark/>
          </w:tcPr>
          <w:p w14:paraId="5D4DD9B4"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0.22</w:t>
            </w:r>
          </w:p>
        </w:tc>
        <w:tc>
          <w:tcPr>
            <w:tcW w:w="1115" w:type="pct"/>
            <w:tcBorders>
              <w:top w:val="nil"/>
              <w:bottom w:val="nil"/>
              <w:right w:val="nil"/>
            </w:tcBorders>
            <w:noWrap/>
            <w:hideMark/>
          </w:tcPr>
          <w:p w14:paraId="0EA5C9A7"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0.26</w:t>
            </w:r>
          </w:p>
        </w:tc>
      </w:tr>
      <w:tr w:rsidR="002E3A7E" w:rsidRPr="002E3A7E" w14:paraId="7A59E009" w14:textId="77777777" w:rsidTr="00E873DB">
        <w:trPr>
          <w:trHeight w:val="20"/>
        </w:trPr>
        <w:tc>
          <w:tcPr>
            <w:tcW w:w="2052" w:type="pct"/>
            <w:tcBorders>
              <w:top w:val="nil"/>
              <w:left w:val="nil"/>
            </w:tcBorders>
            <w:noWrap/>
            <w:hideMark/>
          </w:tcPr>
          <w:p w14:paraId="08DED31A" w14:textId="77777777" w:rsidR="002E3A7E" w:rsidRPr="002E3A7E" w:rsidRDefault="002E3A7E" w:rsidP="000F1A32">
            <w:pPr>
              <w:jc w:val="right"/>
              <w:rPr>
                <w:rFonts w:eastAsia="Times New Roman" w:cs="Times New Roman"/>
                <w:sz w:val="18"/>
                <w:szCs w:val="18"/>
              </w:rPr>
            </w:pPr>
            <w:r w:rsidRPr="002E3A7E">
              <w:rPr>
                <w:rFonts w:eastAsia="Times New Roman" w:cs="Times New Roman"/>
                <w:sz w:val="18"/>
                <w:szCs w:val="18"/>
              </w:rPr>
              <w:t>Propane</w:t>
            </w:r>
          </w:p>
        </w:tc>
        <w:tc>
          <w:tcPr>
            <w:tcW w:w="585" w:type="pct"/>
            <w:tcBorders>
              <w:top w:val="nil"/>
            </w:tcBorders>
            <w:noWrap/>
            <w:hideMark/>
          </w:tcPr>
          <w:p w14:paraId="675535E1" w14:textId="76A41B7D" w:rsidR="002E3A7E" w:rsidRPr="002E3A7E" w:rsidRDefault="002E3A7E" w:rsidP="000F1A32">
            <w:pPr>
              <w:jc w:val="center"/>
              <w:rPr>
                <w:rFonts w:eastAsia="Times New Roman" w:cs="Times New Roman"/>
                <w:color w:val="000000"/>
                <w:sz w:val="18"/>
                <w:szCs w:val="18"/>
              </w:rPr>
            </w:pPr>
            <w:r w:rsidRPr="002E3A7E">
              <w:rPr>
                <w:rFonts w:eastAsia="Times New Roman" w:cs="Times New Roman"/>
                <w:color w:val="000000"/>
                <w:sz w:val="18"/>
                <w:szCs w:val="18"/>
              </w:rPr>
              <w:t>MJ</w:t>
            </w:r>
          </w:p>
        </w:tc>
        <w:tc>
          <w:tcPr>
            <w:tcW w:w="1248" w:type="pct"/>
            <w:tcBorders>
              <w:top w:val="nil"/>
            </w:tcBorders>
            <w:noWrap/>
            <w:hideMark/>
          </w:tcPr>
          <w:p w14:paraId="4B00E3BC"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0.08</w:t>
            </w:r>
          </w:p>
        </w:tc>
        <w:tc>
          <w:tcPr>
            <w:tcW w:w="1115" w:type="pct"/>
            <w:tcBorders>
              <w:top w:val="nil"/>
              <w:right w:val="nil"/>
            </w:tcBorders>
            <w:noWrap/>
            <w:hideMark/>
          </w:tcPr>
          <w:p w14:paraId="7C2D8BD2" w14:textId="77777777" w:rsidR="002E3A7E" w:rsidRPr="002E3A7E" w:rsidRDefault="002E3A7E" w:rsidP="000F1A32">
            <w:pPr>
              <w:ind w:right="836"/>
              <w:jc w:val="right"/>
              <w:rPr>
                <w:rFonts w:eastAsia="Times New Roman" w:cs="Times New Roman"/>
                <w:color w:val="000000"/>
                <w:sz w:val="18"/>
                <w:szCs w:val="18"/>
              </w:rPr>
            </w:pPr>
            <w:r w:rsidRPr="002E3A7E">
              <w:rPr>
                <w:rFonts w:eastAsia="Times New Roman" w:cs="Times New Roman"/>
                <w:color w:val="000000"/>
                <w:sz w:val="18"/>
                <w:szCs w:val="18"/>
              </w:rPr>
              <w:t>0.08</w:t>
            </w:r>
          </w:p>
        </w:tc>
      </w:tr>
    </w:tbl>
    <w:p w14:paraId="4FEF793D" w14:textId="7B8A0F4E" w:rsidR="00236517" w:rsidRDefault="00236517" w:rsidP="000F1A32">
      <w:pPr>
        <w:spacing w:after="0" w:line="240" w:lineRule="auto"/>
      </w:pPr>
    </w:p>
    <w:p w14:paraId="26A9CE59" w14:textId="77777777" w:rsidR="002F4B80" w:rsidRDefault="002F4B80" w:rsidP="000F1A32">
      <w:pPr>
        <w:spacing w:after="0" w:line="240" w:lineRule="auto"/>
      </w:pPr>
    </w:p>
    <w:p w14:paraId="786DFE2C" w14:textId="16151398" w:rsidR="00780AB7" w:rsidRDefault="00010F88" w:rsidP="00C51EBD">
      <w:pPr>
        <w:pStyle w:val="Heading2"/>
      </w:pPr>
      <w:r>
        <w:t>Emission</w:t>
      </w:r>
      <w:r w:rsidR="002E4234">
        <w:t>s from Fuel Use</w:t>
      </w:r>
    </w:p>
    <w:p w14:paraId="39F32DBF" w14:textId="6ED10C65" w:rsidR="00780AB7" w:rsidRDefault="00780AB7" w:rsidP="002E4234">
      <w:pPr>
        <w:spacing w:after="0" w:line="240" w:lineRule="auto"/>
      </w:pPr>
      <w:r>
        <w:t xml:space="preserve">Among the fuel supply chain stages, combustion emissions contribute the most life-cycle emissions. Combustion emissions are dependent on fuel </w:t>
      </w:r>
      <w:r w:rsidR="00D21CFE">
        <w:t>properties</w:t>
      </w:r>
      <w:r>
        <w:t xml:space="preserve">, engine </w:t>
      </w:r>
      <w:r w:rsidR="00D21CFE">
        <w:t>characteristics</w:t>
      </w:r>
      <w:r>
        <w:t xml:space="preserve">, </w:t>
      </w:r>
      <w:r w:rsidR="00D21CFE">
        <w:t>and control technologies</w:t>
      </w:r>
      <w:r w:rsidR="00CA5824">
        <w:t xml:space="preserve"> [</w:t>
      </w:r>
      <w:r w:rsidR="00D21CFE">
        <w:t>Billings personal communication]</w:t>
      </w:r>
      <w:r w:rsidR="00423C5D" w:rsidRPr="00423C5D">
        <w:fldChar w:fldCharType="begin"/>
      </w:r>
      <w:r w:rsidR="0088734B">
        <w:instrText xml:space="preserve"> ADDIN ZOTERO_ITEM CSL_CITATION {"citationID":"ahohgvq9eu","properties":{"formattedCitation":"[14]","plainCitation":"[14]","noteIndex":0},"citationItems":[{"id":3059,"uris":["http://zotero.org/users/2367688/items/SMKLAFJ2"],"uri":["http://zotero.org/users/2367688/items/SMKLAFJ2"],"itemData":{"id":3059,"type":"report","title":"Third IMO Greenhouse Gas Study 2014","publisher-place":"Suffolk, UK","source":"Google Scholar","event-place":"Suffolk, UK","URL":"http://www.imo.org/en/OurWork/Environment/PollutionPrevention/AirPollution/Documents/Third%20Greenhouse%20Gas%20Study/GHG3%20Executive%20Summary%20and%20Report.pdf","author":[{"literal":"IMO"}],"issued":{"date-parts":[["2015"]]},"accessed":{"date-parts":[["2018",12,5]]}}}],"schema":"https://github.com/citation-style-language/schema/raw/master/csl-citation.json"} </w:instrText>
      </w:r>
      <w:r w:rsidR="00423C5D" w:rsidRPr="00423C5D">
        <w:fldChar w:fldCharType="separate"/>
      </w:r>
      <w:r w:rsidR="0088734B" w:rsidRPr="0088734B">
        <w:rPr>
          <w:rFonts w:cs="Times New Roman"/>
        </w:rPr>
        <w:t>[14]</w:t>
      </w:r>
      <w:r w:rsidR="00423C5D" w:rsidRPr="00423C5D">
        <w:fldChar w:fldCharType="end"/>
      </w:r>
      <w:r w:rsidR="00423C5D" w:rsidRPr="00423C5D">
        <w:fldChar w:fldCharType="begin"/>
      </w:r>
      <w:r w:rsidR="0088734B">
        <w:instrText xml:space="preserve"> ADDIN ZOTERO_ITEM CSL_CITATION {"citationID":"a2ltrah8qn7","properties":{"formattedCitation":"[15]","plainCitation":"[15]","noteIndex":0},"citationItems":[{"id":3219,"uris":["http://zotero.org/users/2367688/items/VLHMQDNV"],"uri":["http://zotero.org/users/2367688/items/VLHMQDNV"],"itemData":{"id":3219,"type":"article-journal","title":"Natural gas as a marine fuel","container-title":"Energy Policy","page":"153-167","volume":"87","source":"ScienceDirect","abstract":"This paper provides new knowledge about the life-cycle emissions of natural gas compared to traditional petroleum-based fuels in the marine sector. While natural gas will reduce local air pollutants, such as sulfur oxides and particulate matter, the implications for greenhouse gases depend on how the natural gas is extracted, processed, distributed, and used. Applying a “technology warming potential” (TWP) approach, natural gas as a marine fuel achieves climate parity within 30 years for diesel ignited engines, though could take up to 190 years to reach climate parity with conventional fuels in a spark ignited engine. Movement towards natural gas as a marine fuel continues to progress, and conditions exist in some regions to make a near-term transition to natural gas feasible. Liquefied natural gas in marine transportation is likely to be incentivized where economics favoring natural gas is coupled with air emissions public policy targets. To ensure that climate neutral conversion is achieved with the least delay, TWP results highlight the important role of energy policy for infrastructure development of upstream pathways and onboard ship systems technology innovation.","DOI":"10.1016/j.enpol.2015.08.027","ISSN":"0301-4215","journalAbbreviation":"Energy Policy","author":[{"family":"Thomson","given":"Heather"},{"family":"Corbett","given":"James J."},{"family":"Winebrake","given":"James J."}],"issued":{"date-parts":[["2015",12,1]]}}}],"schema":"https://github.com/citation-style-language/schema/raw/master/csl-citation.json"} </w:instrText>
      </w:r>
      <w:r w:rsidR="00423C5D" w:rsidRPr="00423C5D">
        <w:fldChar w:fldCharType="separate"/>
      </w:r>
      <w:r w:rsidR="0088734B" w:rsidRPr="0088734B">
        <w:rPr>
          <w:rFonts w:cs="Times New Roman"/>
        </w:rPr>
        <w:t>[15]</w:t>
      </w:r>
      <w:r w:rsidR="00423C5D" w:rsidRPr="00423C5D">
        <w:fldChar w:fldCharType="end"/>
      </w:r>
      <w:r w:rsidR="00423C5D">
        <w:t xml:space="preserve">. </w:t>
      </w:r>
      <w:r w:rsidR="00423C5D">
        <w:fldChar w:fldCharType="begin"/>
      </w:r>
      <w:r w:rsidR="00423C5D">
        <w:instrText xml:space="preserve"> REF _Ref18353893 \h </w:instrText>
      </w:r>
      <w:r w:rsidR="00423C5D">
        <w:fldChar w:fldCharType="separate"/>
      </w:r>
      <w:r w:rsidR="00AA250B">
        <w:t xml:space="preserve">Table </w:t>
      </w:r>
      <w:r w:rsidR="00AA250B">
        <w:rPr>
          <w:noProof/>
        </w:rPr>
        <w:t>5</w:t>
      </w:r>
      <w:r w:rsidR="00423C5D">
        <w:fldChar w:fldCharType="end"/>
      </w:r>
      <w:r w:rsidR="00423C5D">
        <w:t xml:space="preserve"> summarizes the emission factors used in this study and </w:t>
      </w:r>
      <w:r w:rsidR="00D13D53">
        <w:t xml:space="preserve">the </w:t>
      </w:r>
      <w:r w:rsidR="00423C5D">
        <w:t xml:space="preserve">corresponding data sources. </w:t>
      </w:r>
      <w:r w:rsidR="00DC4206">
        <w:t>It shows emission factors vary by engine types as well as fuel types. We include five major engine types (</w:t>
      </w:r>
      <w:r w:rsidR="00DC4206" w:rsidRPr="00DC4206">
        <w:t>Slow</w:t>
      </w:r>
      <w:r w:rsidR="00454492">
        <w:t>-</w:t>
      </w:r>
      <w:r w:rsidR="00DC4206" w:rsidRPr="00DC4206">
        <w:t>Speed Diesel</w:t>
      </w:r>
      <w:r w:rsidR="00DC4206">
        <w:t xml:space="preserve"> [SSD], </w:t>
      </w:r>
      <w:r w:rsidR="00DC4206" w:rsidRPr="00DC4206">
        <w:t>Medium</w:t>
      </w:r>
      <w:r w:rsidR="00454492">
        <w:t>-</w:t>
      </w:r>
      <w:r w:rsidR="00DC4206" w:rsidRPr="00DC4206">
        <w:t>Speed Diesel</w:t>
      </w:r>
      <w:r w:rsidR="00DC4206">
        <w:t xml:space="preserve"> [</w:t>
      </w:r>
      <w:r w:rsidR="00DC4206" w:rsidRPr="00DC4206">
        <w:t>MSD</w:t>
      </w:r>
      <w:r w:rsidR="00DC4206">
        <w:t xml:space="preserve">], </w:t>
      </w:r>
      <w:r w:rsidR="00DC4206" w:rsidRPr="00DC4206">
        <w:t>Steam Turbine</w:t>
      </w:r>
      <w:r w:rsidR="00DC4206">
        <w:t xml:space="preserve"> [ST], </w:t>
      </w:r>
      <w:r w:rsidR="00DC4206" w:rsidRPr="00DC4206">
        <w:t>Gas Turbine</w:t>
      </w:r>
      <w:r w:rsidR="00DC4206">
        <w:t xml:space="preserve"> [GT], and LNG</w:t>
      </w:r>
      <w:r w:rsidR="00DC4206" w:rsidRPr="00DC4206">
        <w:t>)</w:t>
      </w:r>
      <w:r w:rsidR="00156359">
        <w:t xml:space="preserve"> and thee auxiliary engine types (MSD, </w:t>
      </w:r>
      <w:r w:rsidR="00156359" w:rsidRPr="00156359">
        <w:t>High</w:t>
      </w:r>
      <w:r w:rsidR="00454492">
        <w:t>-</w:t>
      </w:r>
      <w:r w:rsidR="00156359" w:rsidRPr="00156359">
        <w:t>Speed Diesel</w:t>
      </w:r>
      <w:r w:rsidR="00156359">
        <w:t xml:space="preserve"> [HSD], and LNG</w:t>
      </w:r>
      <w:r w:rsidR="00156359" w:rsidRPr="00156359">
        <w:t>)</w:t>
      </w:r>
      <w:r w:rsidR="00DC4206">
        <w:t xml:space="preserve">. </w:t>
      </w:r>
      <w:r w:rsidR="00423C5D">
        <w:t xml:space="preserve">Due to strict regulations on NOx, the emission factors of NOx are highly dependent on regulations. SOx emissions are estimated based on sulfur content of fuels assuming </w:t>
      </w:r>
      <w:r w:rsidR="004E1C1D">
        <w:t xml:space="preserve">97.75% of sulfur is emitted as SOx and the rest (2.247%) becomes </w:t>
      </w:r>
      <w:r w:rsidR="00D2097A">
        <w:t xml:space="preserve">sulfate in </w:t>
      </w:r>
      <w:r w:rsidR="004E1C1D">
        <w:t xml:space="preserve">PM10 emissions. The emission factors of PM10 in </w:t>
      </w:r>
      <w:r w:rsidR="004E1C1D">
        <w:fldChar w:fldCharType="begin"/>
      </w:r>
      <w:r w:rsidR="004E1C1D">
        <w:instrText xml:space="preserve"> REF _Ref18353893 \h </w:instrText>
      </w:r>
      <w:r w:rsidR="004E1C1D">
        <w:fldChar w:fldCharType="separate"/>
      </w:r>
      <w:r w:rsidR="00AA250B">
        <w:t xml:space="preserve">Table </w:t>
      </w:r>
      <w:r w:rsidR="00AA250B">
        <w:rPr>
          <w:noProof/>
        </w:rPr>
        <w:t>5</w:t>
      </w:r>
      <w:r w:rsidR="004E1C1D">
        <w:fldChar w:fldCharType="end"/>
      </w:r>
      <w:r w:rsidR="004E1C1D">
        <w:t xml:space="preserve"> </w:t>
      </w:r>
      <w:r w:rsidR="004E1C1D">
        <w:lastRenderedPageBreak/>
        <w:t xml:space="preserve">represent base PM without considering PM from sulfur in marine fuels. </w:t>
      </w:r>
      <w:r w:rsidR="001D7002">
        <w:t xml:space="preserve">Note that the emission factors of PM2.5 are calculated as 92% of those of PM10 </w:t>
      </w:r>
      <w:r w:rsidR="001D7002">
        <w:fldChar w:fldCharType="begin"/>
      </w:r>
      <w:r w:rsidR="0088734B">
        <w:instrText xml:space="preserve"> ADDIN ZOTERO_ITEM CSL_CITATION {"citationID":"a28kdtmh2au","properties":{"formattedCitation":"[16]","plainCitation":"[16]","noteIndex":0},"citationItems":[{"id":3222,"uris":["http://zotero.org/users/2367688/items/IV74N43A"],"uri":["http://zotero.org/users/2367688/items/IV74N43A"],"itemData":{"id":3222,"type":"book","title":"Regulatory impact analysis: control of emissions of air pollution from category 3 marine diesel engines","publisher":"US Environmental Protection Agency (EPA) USA","source":"Google Scholar","URL":"https://archive.epa.gov/region9/mediacenter/web/pdf/420r09019.pdf","title-short":"Regulatory impact analysis","author":[{"literal":"EPA"}],"issued":{"date-parts":[["2009"]]},"accessed":{"date-parts":[["2019",9,2]]}}}],"schema":"https://github.com/citation-style-language/schema/raw/master/csl-citation.json"} </w:instrText>
      </w:r>
      <w:r w:rsidR="001D7002">
        <w:fldChar w:fldCharType="separate"/>
      </w:r>
      <w:r w:rsidR="0088734B" w:rsidRPr="0088734B">
        <w:rPr>
          <w:rFonts w:cs="Times New Roman"/>
        </w:rPr>
        <w:t>[16]</w:t>
      </w:r>
      <w:r w:rsidR="001D7002">
        <w:fldChar w:fldCharType="end"/>
      </w:r>
      <w:r w:rsidR="001D7002">
        <w:t>.</w:t>
      </w:r>
      <w:r w:rsidR="004028C6">
        <w:t xml:space="preserve"> CO</w:t>
      </w:r>
      <w:r w:rsidR="004028C6" w:rsidRPr="004028C6">
        <w:rPr>
          <w:vertAlign w:val="subscript"/>
        </w:rPr>
        <w:t>2</w:t>
      </w:r>
      <w:r w:rsidR="004028C6">
        <w:t xml:space="preserve"> emissions are estimated based on carbon balance assuming all carbon in fuels are emitted as VOC, CO, CH</w:t>
      </w:r>
      <w:r w:rsidR="004028C6" w:rsidRPr="004028C6">
        <w:rPr>
          <w:vertAlign w:val="subscript"/>
        </w:rPr>
        <w:t>4</w:t>
      </w:r>
      <w:r w:rsidR="004028C6">
        <w:t>, and CO</w:t>
      </w:r>
      <w:r w:rsidR="004028C6" w:rsidRPr="004028C6">
        <w:rPr>
          <w:vertAlign w:val="subscript"/>
        </w:rPr>
        <w:t>2</w:t>
      </w:r>
      <w:r w:rsidR="004028C6">
        <w:t xml:space="preserve">. </w:t>
      </w:r>
      <w:r w:rsidR="0045160B">
        <w:t xml:space="preserve">Due to limited information for the emission factors of </w:t>
      </w:r>
      <w:r w:rsidR="004A46D2">
        <w:t>other fuels (diesel, SVO, and pyrolysis oil)</w:t>
      </w:r>
      <w:r w:rsidR="0045160B">
        <w:t xml:space="preserve">, we used the same emission factors of MGO/MDO. </w:t>
      </w:r>
      <w:r w:rsidR="007B5C62">
        <w:t xml:space="preserve">The emission factors of LNG show that overall LNG vessels would generate lower CAP emissions compared to </w:t>
      </w:r>
      <w:r w:rsidR="0045160B">
        <w:t>petroleum</w:t>
      </w:r>
      <w:r w:rsidR="00454492">
        <w:t>-</w:t>
      </w:r>
      <w:r w:rsidR="0045160B">
        <w:t xml:space="preserve">based </w:t>
      </w:r>
      <w:r w:rsidR="00156359">
        <w:t>fuels except for CH</w:t>
      </w:r>
      <w:r w:rsidR="00156359" w:rsidRPr="00156359">
        <w:rPr>
          <w:vertAlign w:val="subscript"/>
        </w:rPr>
        <w:t>4</w:t>
      </w:r>
      <w:r w:rsidR="00156359">
        <w:t xml:space="preserve"> emissions (CH</w:t>
      </w:r>
      <w:r w:rsidR="00156359" w:rsidRPr="00156359">
        <w:rPr>
          <w:vertAlign w:val="subscript"/>
        </w:rPr>
        <w:t>4</w:t>
      </w:r>
      <w:r w:rsidR="00156359">
        <w:t xml:space="preserve"> slip) </w:t>
      </w:r>
      <w:r w:rsidR="00156359">
        <w:fldChar w:fldCharType="begin"/>
      </w:r>
      <w:r w:rsidR="0088734B">
        <w:instrText xml:space="preserve"> ADDIN ZOTERO_ITEM CSL_CITATION {"citationID":"a2k75mb4as7","properties":{"formattedCitation":"[15]","plainCitation":"[15]","noteIndex":0},"citationItems":[{"id":3219,"uris":["http://zotero.org/users/2367688/items/VLHMQDNV"],"uri":["http://zotero.org/users/2367688/items/VLHMQDNV"],"itemData":{"id":3219,"type":"article-journal","title":"Natural gas as a marine fuel","container-title":"Energy Policy","page":"153-167","volume":"87","source":"ScienceDirect","abstract":"This paper provides new knowledge about the life-cycle emissions of natural gas compared to traditional petroleum-based fuels in the marine sector. While natural gas will reduce local air pollutants, such as sulfur oxides and particulate matter, the implications for greenhouse gases depend on how the natural gas is extracted, processed, distributed, and used. Applying a “technology warming potential” (TWP) approach, natural gas as a marine fuel achieves climate parity within 30 years for diesel ignited engines, though could take up to 190 years to reach climate parity with conventional fuels in a spark ignited engine. Movement towards natural gas as a marine fuel continues to progress, and conditions exist in some regions to make a near-term transition to natural gas feasible. Liquefied natural gas in marine transportation is likely to be incentivized where economics favoring natural gas is coupled with air emissions public policy targets. To ensure that climate neutral conversion is achieved with the least delay, TWP results highlight the important role of energy policy for infrastructure development of upstream pathways and onboard ship systems technology innovation.","DOI":"10.1016/j.enpol.2015.08.027","ISSN":"0301-4215","journalAbbreviation":"Energy Policy","author":[{"family":"Thomson","given":"Heather"},{"family":"Corbett","given":"James J."},{"family":"Winebrake","given":"James J."}],"issued":{"date-parts":[["2015",12,1]]}}}],"schema":"https://github.com/citation-style-language/schema/raw/master/csl-citation.json"} </w:instrText>
      </w:r>
      <w:r w:rsidR="00156359">
        <w:fldChar w:fldCharType="separate"/>
      </w:r>
      <w:r w:rsidR="0088734B" w:rsidRPr="0088734B">
        <w:rPr>
          <w:rFonts w:cs="Times New Roman"/>
        </w:rPr>
        <w:t>[15]</w:t>
      </w:r>
      <w:r w:rsidR="00156359">
        <w:fldChar w:fldCharType="end"/>
      </w:r>
      <w:r w:rsidR="00156359">
        <w:t xml:space="preserve">.  </w:t>
      </w:r>
    </w:p>
    <w:p w14:paraId="102DB8A9" w14:textId="77777777" w:rsidR="0068315E" w:rsidRPr="0068315E" w:rsidRDefault="0068315E" w:rsidP="000F1A32">
      <w:pPr>
        <w:spacing w:after="0" w:line="240" w:lineRule="auto"/>
      </w:pPr>
    </w:p>
    <w:p w14:paraId="2EB2B4C1" w14:textId="7E645DEF" w:rsidR="0068315E" w:rsidRDefault="0068315E" w:rsidP="000F1A32">
      <w:pPr>
        <w:pStyle w:val="Caption"/>
        <w:spacing w:after="0"/>
      </w:pPr>
      <w:bookmarkStart w:id="6" w:name="_Ref18353893"/>
      <w:r>
        <w:t xml:space="preserve">Table </w:t>
      </w:r>
      <w:r w:rsidR="006D53AC">
        <w:rPr>
          <w:noProof/>
        </w:rPr>
        <w:fldChar w:fldCharType="begin"/>
      </w:r>
      <w:r w:rsidR="006D53AC">
        <w:rPr>
          <w:noProof/>
        </w:rPr>
        <w:instrText xml:space="preserve"> SEQ Table \* ARABIC </w:instrText>
      </w:r>
      <w:r w:rsidR="006D53AC">
        <w:rPr>
          <w:noProof/>
        </w:rPr>
        <w:fldChar w:fldCharType="separate"/>
      </w:r>
      <w:r w:rsidR="00AA250B">
        <w:rPr>
          <w:noProof/>
        </w:rPr>
        <w:t>5</w:t>
      </w:r>
      <w:r w:rsidR="006D53AC">
        <w:rPr>
          <w:noProof/>
        </w:rPr>
        <w:fldChar w:fldCharType="end"/>
      </w:r>
      <w:bookmarkEnd w:id="6"/>
      <w:r w:rsidR="00423C5D">
        <w:t>. Emission factors</w:t>
      </w:r>
      <w:r w:rsidR="007B5C62">
        <w:t xml:space="preserve"> (g/kWh operation)</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Pr>
      <w:tblGrid>
        <w:gridCol w:w="710"/>
        <w:gridCol w:w="1200"/>
        <w:gridCol w:w="1060"/>
        <w:gridCol w:w="1086"/>
        <w:gridCol w:w="769"/>
        <w:gridCol w:w="769"/>
        <w:gridCol w:w="769"/>
        <w:gridCol w:w="766"/>
        <w:gridCol w:w="769"/>
        <w:gridCol w:w="769"/>
        <w:gridCol w:w="693"/>
      </w:tblGrid>
      <w:tr w:rsidR="00037FF9" w:rsidRPr="00E72CF3" w14:paraId="2DC31C4F" w14:textId="77777777" w:rsidTr="006A5B07">
        <w:trPr>
          <w:trHeight w:val="20"/>
        </w:trPr>
        <w:tc>
          <w:tcPr>
            <w:tcW w:w="1020" w:type="pct"/>
            <w:gridSpan w:val="2"/>
            <w:vMerge w:val="restart"/>
            <w:noWrap/>
            <w:vAlign w:val="center"/>
            <w:hideMark/>
          </w:tcPr>
          <w:p w14:paraId="726778CA" w14:textId="11632738" w:rsidR="00E72CF3" w:rsidRPr="00E72CF3" w:rsidRDefault="00E72CF3" w:rsidP="000F1A32">
            <w:pPr>
              <w:jc w:val="center"/>
              <w:rPr>
                <w:rFonts w:eastAsia="Times New Roman" w:cs="Times New Roman"/>
                <w:sz w:val="18"/>
                <w:szCs w:val="18"/>
              </w:rPr>
            </w:pPr>
          </w:p>
        </w:tc>
        <w:tc>
          <w:tcPr>
            <w:tcW w:w="566" w:type="pct"/>
            <w:vMerge w:val="restart"/>
            <w:noWrap/>
            <w:vAlign w:val="center"/>
            <w:hideMark/>
          </w:tcPr>
          <w:p w14:paraId="0691DC3E" w14:textId="09306E13" w:rsidR="00E72CF3" w:rsidRPr="00E72CF3" w:rsidRDefault="006A5B07" w:rsidP="006A5B07">
            <w:pPr>
              <w:jc w:val="center"/>
              <w:rPr>
                <w:rFonts w:eastAsia="Times New Roman" w:cs="Times New Roman"/>
                <w:sz w:val="18"/>
                <w:szCs w:val="18"/>
              </w:rPr>
            </w:pPr>
            <w:r>
              <w:rPr>
                <w:rFonts w:eastAsia="Times New Roman" w:cs="Times New Roman"/>
                <w:sz w:val="18"/>
                <w:szCs w:val="18"/>
              </w:rPr>
              <w:t>Emission R</w:t>
            </w:r>
            <w:r w:rsidR="00E873DB">
              <w:rPr>
                <w:rFonts w:eastAsia="Times New Roman" w:cs="Times New Roman"/>
                <w:sz w:val="18"/>
                <w:szCs w:val="18"/>
              </w:rPr>
              <w:t xml:space="preserve">egulation </w:t>
            </w:r>
            <w:r>
              <w:rPr>
                <w:rFonts w:eastAsia="Times New Roman" w:cs="Times New Roman"/>
                <w:sz w:val="18"/>
                <w:szCs w:val="18"/>
              </w:rPr>
              <w:t>T</w:t>
            </w:r>
            <w:r w:rsidR="00E72CF3" w:rsidRPr="00E72CF3">
              <w:rPr>
                <w:rFonts w:eastAsia="Times New Roman" w:cs="Times New Roman"/>
                <w:sz w:val="18"/>
                <w:szCs w:val="18"/>
              </w:rPr>
              <w:t>ier</w:t>
            </w:r>
          </w:p>
        </w:tc>
        <w:tc>
          <w:tcPr>
            <w:tcW w:w="2222" w:type="pct"/>
            <w:gridSpan w:val="5"/>
            <w:noWrap/>
            <w:vAlign w:val="center"/>
            <w:hideMark/>
          </w:tcPr>
          <w:p w14:paraId="328463ED" w14:textId="2F7B9215"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Main engine</w:t>
            </w:r>
          </w:p>
        </w:tc>
        <w:tc>
          <w:tcPr>
            <w:tcW w:w="1192" w:type="pct"/>
            <w:gridSpan w:val="3"/>
            <w:noWrap/>
            <w:vAlign w:val="center"/>
            <w:hideMark/>
          </w:tcPr>
          <w:p w14:paraId="6A6B3452" w14:textId="65577824"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Aux. engine</w:t>
            </w:r>
          </w:p>
        </w:tc>
      </w:tr>
      <w:tr w:rsidR="00E72CF3" w:rsidRPr="00E72CF3" w14:paraId="39945850" w14:textId="77777777" w:rsidTr="006A5B07">
        <w:trPr>
          <w:trHeight w:val="20"/>
        </w:trPr>
        <w:tc>
          <w:tcPr>
            <w:tcW w:w="1020" w:type="pct"/>
            <w:gridSpan w:val="2"/>
            <w:vMerge/>
            <w:noWrap/>
            <w:vAlign w:val="center"/>
            <w:hideMark/>
          </w:tcPr>
          <w:p w14:paraId="7AA0911B" w14:textId="36A6EC48" w:rsidR="00E72CF3" w:rsidRPr="00E72CF3" w:rsidRDefault="00E72CF3" w:rsidP="000F1A32">
            <w:pPr>
              <w:jc w:val="center"/>
              <w:rPr>
                <w:rFonts w:eastAsia="Times New Roman" w:cs="Times New Roman"/>
                <w:sz w:val="18"/>
                <w:szCs w:val="18"/>
              </w:rPr>
            </w:pPr>
          </w:p>
        </w:tc>
        <w:tc>
          <w:tcPr>
            <w:tcW w:w="566" w:type="pct"/>
            <w:vMerge/>
            <w:noWrap/>
            <w:vAlign w:val="center"/>
            <w:hideMark/>
          </w:tcPr>
          <w:p w14:paraId="7CEBA1B4" w14:textId="59836F5A" w:rsidR="00E72CF3" w:rsidRPr="00E72CF3" w:rsidRDefault="00E72CF3" w:rsidP="000F1A32">
            <w:pPr>
              <w:jc w:val="center"/>
              <w:rPr>
                <w:rFonts w:eastAsia="Times New Roman" w:cs="Times New Roman"/>
                <w:sz w:val="18"/>
                <w:szCs w:val="18"/>
              </w:rPr>
            </w:pPr>
          </w:p>
        </w:tc>
        <w:tc>
          <w:tcPr>
            <w:tcW w:w="580" w:type="pct"/>
            <w:noWrap/>
            <w:vAlign w:val="center"/>
            <w:hideMark/>
          </w:tcPr>
          <w:p w14:paraId="76A781FB"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SSD</w:t>
            </w:r>
          </w:p>
        </w:tc>
        <w:tc>
          <w:tcPr>
            <w:tcW w:w="411" w:type="pct"/>
            <w:noWrap/>
            <w:vAlign w:val="center"/>
            <w:hideMark/>
          </w:tcPr>
          <w:p w14:paraId="13326350"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MSD</w:t>
            </w:r>
          </w:p>
        </w:tc>
        <w:tc>
          <w:tcPr>
            <w:tcW w:w="411" w:type="pct"/>
            <w:noWrap/>
            <w:vAlign w:val="center"/>
            <w:hideMark/>
          </w:tcPr>
          <w:p w14:paraId="0F18A18C"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ST</w:t>
            </w:r>
          </w:p>
        </w:tc>
        <w:tc>
          <w:tcPr>
            <w:tcW w:w="411" w:type="pct"/>
            <w:noWrap/>
            <w:vAlign w:val="center"/>
            <w:hideMark/>
          </w:tcPr>
          <w:p w14:paraId="3EFA3527"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GT</w:t>
            </w:r>
          </w:p>
        </w:tc>
        <w:tc>
          <w:tcPr>
            <w:tcW w:w="409" w:type="pct"/>
            <w:noWrap/>
            <w:vAlign w:val="center"/>
            <w:hideMark/>
          </w:tcPr>
          <w:p w14:paraId="1FD5E2FA" w14:textId="263DFA19"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LNG</w:t>
            </w:r>
          </w:p>
        </w:tc>
        <w:tc>
          <w:tcPr>
            <w:tcW w:w="411" w:type="pct"/>
            <w:noWrap/>
            <w:vAlign w:val="center"/>
            <w:hideMark/>
          </w:tcPr>
          <w:p w14:paraId="6B714112"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MSD</w:t>
            </w:r>
          </w:p>
        </w:tc>
        <w:tc>
          <w:tcPr>
            <w:tcW w:w="411" w:type="pct"/>
            <w:noWrap/>
            <w:vAlign w:val="center"/>
            <w:hideMark/>
          </w:tcPr>
          <w:p w14:paraId="72DA4ED7"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HSD</w:t>
            </w:r>
          </w:p>
        </w:tc>
        <w:tc>
          <w:tcPr>
            <w:tcW w:w="370" w:type="pct"/>
            <w:noWrap/>
            <w:vAlign w:val="center"/>
            <w:hideMark/>
          </w:tcPr>
          <w:p w14:paraId="3C0F7F53"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LNG</w:t>
            </w:r>
          </w:p>
        </w:tc>
      </w:tr>
      <w:tr w:rsidR="00E72CF3" w:rsidRPr="00E72CF3" w14:paraId="702DF694" w14:textId="77777777" w:rsidTr="006A5B07">
        <w:trPr>
          <w:trHeight w:val="20"/>
        </w:trPr>
        <w:tc>
          <w:tcPr>
            <w:tcW w:w="1020" w:type="pct"/>
            <w:gridSpan w:val="2"/>
            <w:noWrap/>
            <w:vAlign w:val="center"/>
            <w:hideMark/>
          </w:tcPr>
          <w:p w14:paraId="036D7C7C" w14:textId="745173CF" w:rsidR="00E72CF3" w:rsidRPr="00E72CF3" w:rsidRDefault="00E72CF3" w:rsidP="006A5B07">
            <w:pPr>
              <w:jc w:val="left"/>
              <w:rPr>
                <w:rFonts w:eastAsia="Times New Roman" w:cs="Times New Roman"/>
                <w:sz w:val="18"/>
                <w:szCs w:val="18"/>
              </w:rPr>
            </w:pPr>
            <w:r w:rsidRPr="00E72CF3">
              <w:rPr>
                <w:rFonts w:eastAsia="Times New Roman" w:cs="Times New Roman"/>
                <w:sz w:val="18"/>
                <w:szCs w:val="18"/>
              </w:rPr>
              <w:t>VOC (HC)</w:t>
            </w:r>
            <w:r w:rsidR="00D7162C" w:rsidRPr="00D7162C">
              <w:rPr>
                <w:rFonts w:eastAsia="Times New Roman" w:cs="Times New Roman"/>
                <w:sz w:val="18"/>
                <w:szCs w:val="18"/>
                <w:vertAlign w:val="superscript"/>
              </w:rPr>
              <w:t>a</w:t>
            </w:r>
          </w:p>
        </w:tc>
        <w:tc>
          <w:tcPr>
            <w:tcW w:w="566" w:type="pct"/>
            <w:noWrap/>
            <w:vAlign w:val="center"/>
            <w:hideMark/>
          </w:tcPr>
          <w:p w14:paraId="1A4D549A" w14:textId="12959764" w:rsidR="00E72CF3" w:rsidRPr="00E72CF3" w:rsidRDefault="00E72CF3"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hideMark/>
          </w:tcPr>
          <w:p w14:paraId="23B34A39"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0.6</w:t>
            </w:r>
          </w:p>
        </w:tc>
        <w:tc>
          <w:tcPr>
            <w:tcW w:w="411" w:type="pct"/>
            <w:noWrap/>
            <w:vAlign w:val="center"/>
            <w:hideMark/>
          </w:tcPr>
          <w:p w14:paraId="303341FA"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0.5</w:t>
            </w:r>
          </w:p>
        </w:tc>
        <w:tc>
          <w:tcPr>
            <w:tcW w:w="411" w:type="pct"/>
            <w:noWrap/>
            <w:vAlign w:val="center"/>
            <w:hideMark/>
          </w:tcPr>
          <w:p w14:paraId="3976E26C"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0.1</w:t>
            </w:r>
          </w:p>
        </w:tc>
        <w:tc>
          <w:tcPr>
            <w:tcW w:w="411" w:type="pct"/>
            <w:noWrap/>
            <w:vAlign w:val="center"/>
            <w:hideMark/>
          </w:tcPr>
          <w:p w14:paraId="20D91178"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0.1</w:t>
            </w:r>
          </w:p>
        </w:tc>
        <w:tc>
          <w:tcPr>
            <w:tcW w:w="409" w:type="pct"/>
            <w:noWrap/>
            <w:vAlign w:val="center"/>
            <w:hideMark/>
          </w:tcPr>
          <w:p w14:paraId="427FDFF7" w14:textId="348046AA"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w:t>
            </w:r>
            <w:r w:rsidR="00037FF9">
              <w:rPr>
                <w:rFonts w:eastAsia="Times New Roman" w:cs="Times New Roman"/>
                <w:sz w:val="18"/>
                <w:szCs w:val="18"/>
              </w:rPr>
              <w:t>.5</w:t>
            </w:r>
          </w:p>
        </w:tc>
        <w:tc>
          <w:tcPr>
            <w:tcW w:w="411" w:type="pct"/>
            <w:noWrap/>
            <w:vAlign w:val="center"/>
            <w:hideMark/>
          </w:tcPr>
          <w:p w14:paraId="3EBFE97D"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0.4</w:t>
            </w:r>
          </w:p>
        </w:tc>
        <w:tc>
          <w:tcPr>
            <w:tcW w:w="411" w:type="pct"/>
            <w:noWrap/>
            <w:vAlign w:val="center"/>
            <w:hideMark/>
          </w:tcPr>
          <w:p w14:paraId="636D2352"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0.4</w:t>
            </w:r>
          </w:p>
        </w:tc>
        <w:tc>
          <w:tcPr>
            <w:tcW w:w="370" w:type="pct"/>
            <w:noWrap/>
            <w:vAlign w:val="center"/>
            <w:hideMark/>
          </w:tcPr>
          <w:p w14:paraId="6CF0E27E"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w:t>
            </w:r>
          </w:p>
        </w:tc>
      </w:tr>
      <w:tr w:rsidR="00E72CF3" w:rsidRPr="00E72CF3" w14:paraId="5BE79C72" w14:textId="77777777" w:rsidTr="006A5B07">
        <w:trPr>
          <w:trHeight w:val="20"/>
        </w:trPr>
        <w:tc>
          <w:tcPr>
            <w:tcW w:w="1020" w:type="pct"/>
            <w:gridSpan w:val="2"/>
            <w:noWrap/>
            <w:vAlign w:val="center"/>
            <w:hideMark/>
          </w:tcPr>
          <w:p w14:paraId="3AB20DFB" w14:textId="240B706D" w:rsidR="00E72CF3" w:rsidRPr="00E72CF3" w:rsidRDefault="00E72CF3" w:rsidP="006A5B07">
            <w:pPr>
              <w:jc w:val="left"/>
              <w:rPr>
                <w:rFonts w:eastAsia="Times New Roman" w:cs="Times New Roman"/>
                <w:sz w:val="18"/>
                <w:szCs w:val="18"/>
              </w:rPr>
            </w:pPr>
            <w:r w:rsidRPr="00E72CF3">
              <w:rPr>
                <w:rFonts w:eastAsia="Times New Roman" w:cs="Times New Roman"/>
                <w:sz w:val="18"/>
                <w:szCs w:val="18"/>
              </w:rPr>
              <w:t>CO</w:t>
            </w:r>
            <w:r w:rsidR="00D7162C" w:rsidRPr="00D7162C">
              <w:rPr>
                <w:rFonts w:eastAsia="Times New Roman" w:cs="Times New Roman"/>
                <w:sz w:val="18"/>
                <w:szCs w:val="18"/>
                <w:vertAlign w:val="superscript"/>
              </w:rPr>
              <w:t>a</w:t>
            </w:r>
          </w:p>
        </w:tc>
        <w:tc>
          <w:tcPr>
            <w:tcW w:w="566" w:type="pct"/>
            <w:noWrap/>
            <w:vAlign w:val="center"/>
            <w:hideMark/>
          </w:tcPr>
          <w:p w14:paraId="5BCF32A5" w14:textId="0FDD9BD1" w:rsidR="00E72CF3" w:rsidRPr="00E72CF3" w:rsidRDefault="00E72CF3"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hideMark/>
          </w:tcPr>
          <w:p w14:paraId="36D6C353"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1.4</w:t>
            </w:r>
          </w:p>
        </w:tc>
        <w:tc>
          <w:tcPr>
            <w:tcW w:w="411" w:type="pct"/>
            <w:noWrap/>
            <w:vAlign w:val="center"/>
            <w:hideMark/>
          </w:tcPr>
          <w:p w14:paraId="681029C1"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1.1</w:t>
            </w:r>
          </w:p>
        </w:tc>
        <w:tc>
          <w:tcPr>
            <w:tcW w:w="411" w:type="pct"/>
            <w:noWrap/>
            <w:vAlign w:val="center"/>
            <w:hideMark/>
          </w:tcPr>
          <w:p w14:paraId="4F1ED2D0"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0.2</w:t>
            </w:r>
          </w:p>
        </w:tc>
        <w:tc>
          <w:tcPr>
            <w:tcW w:w="411" w:type="pct"/>
            <w:noWrap/>
            <w:vAlign w:val="center"/>
            <w:hideMark/>
          </w:tcPr>
          <w:p w14:paraId="6C8A5F82"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0.2</w:t>
            </w:r>
          </w:p>
        </w:tc>
        <w:tc>
          <w:tcPr>
            <w:tcW w:w="409" w:type="pct"/>
            <w:noWrap/>
            <w:vAlign w:val="center"/>
            <w:hideMark/>
          </w:tcPr>
          <w:p w14:paraId="137EF84A" w14:textId="499EDD15" w:rsidR="00E72CF3" w:rsidRPr="00E72CF3" w:rsidRDefault="00037FF9" w:rsidP="000F1A32">
            <w:pPr>
              <w:jc w:val="center"/>
              <w:rPr>
                <w:rFonts w:eastAsia="Times New Roman" w:cs="Times New Roman"/>
                <w:sz w:val="18"/>
                <w:szCs w:val="18"/>
              </w:rPr>
            </w:pPr>
            <w:r>
              <w:rPr>
                <w:rFonts w:eastAsia="Times New Roman" w:cs="Times New Roman"/>
                <w:sz w:val="18"/>
                <w:szCs w:val="18"/>
              </w:rPr>
              <w:t>1.30</w:t>
            </w:r>
          </w:p>
        </w:tc>
        <w:tc>
          <w:tcPr>
            <w:tcW w:w="411" w:type="pct"/>
            <w:noWrap/>
            <w:vAlign w:val="center"/>
            <w:hideMark/>
          </w:tcPr>
          <w:p w14:paraId="0907DE51"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1.1</w:t>
            </w:r>
          </w:p>
        </w:tc>
        <w:tc>
          <w:tcPr>
            <w:tcW w:w="411" w:type="pct"/>
            <w:noWrap/>
            <w:vAlign w:val="center"/>
            <w:hideMark/>
          </w:tcPr>
          <w:p w14:paraId="0DE87C15"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0.9</w:t>
            </w:r>
          </w:p>
        </w:tc>
        <w:tc>
          <w:tcPr>
            <w:tcW w:w="370" w:type="pct"/>
            <w:noWrap/>
            <w:vAlign w:val="center"/>
            <w:hideMark/>
          </w:tcPr>
          <w:p w14:paraId="2AECDD04" w14:textId="77777777" w:rsidR="00E72CF3" w:rsidRPr="00E72CF3" w:rsidRDefault="00E72CF3" w:rsidP="000F1A32">
            <w:pPr>
              <w:jc w:val="center"/>
              <w:rPr>
                <w:rFonts w:eastAsia="Times New Roman" w:cs="Times New Roman"/>
                <w:sz w:val="18"/>
                <w:szCs w:val="18"/>
              </w:rPr>
            </w:pPr>
            <w:r w:rsidRPr="00E72CF3">
              <w:rPr>
                <w:rFonts w:eastAsia="Times New Roman" w:cs="Times New Roman"/>
                <w:sz w:val="18"/>
                <w:szCs w:val="18"/>
              </w:rPr>
              <w:t>1.3</w:t>
            </w:r>
          </w:p>
        </w:tc>
      </w:tr>
      <w:tr w:rsidR="00037FF9" w:rsidRPr="00E72CF3" w14:paraId="4DE69D44" w14:textId="77777777" w:rsidTr="006A5B07">
        <w:trPr>
          <w:trHeight w:val="20"/>
        </w:trPr>
        <w:tc>
          <w:tcPr>
            <w:tcW w:w="379" w:type="pct"/>
            <w:vMerge w:val="restart"/>
            <w:noWrap/>
            <w:vAlign w:val="center"/>
            <w:hideMark/>
          </w:tcPr>
          <w:p w14:paraId="5F69B1E1" w14:textId="05DF714C" w:rsidR="00037FF9" w:rsidRPr="00E72CF3" w:rsidRDefault="00037FF9" w:rsidP="006A5B07">
            <w:pPr>
              <w:jc w:val="left"/>
              <w:rPr>
                <w:rFonts w:eastAsia="Times New Roman" w:cs="Times New Roman"/>
                <w:sz w:val="18"/>
                <w:szCs w:val="18"/>
              </w:rPr>
            </w:pPr>
            <w:r w:rsidRPr="00E72CF3">
              <w:rPr>
                <w:rFonts w:eastAsia="Times New Roman" w:cs="Times New Roman"/>
                <w:sz w:val="18"/>
                <w:szCs w:val="18"/>
              </w:rPr>
              <w:t>NOx</w:t>
            </w:r>
          </w:p>
        </w:tc>
        <w:tc>
          <w:tcPr>
            <w:tcW w:w="641" w:type="pct"/>
            <w:vMerge w:val="restart"/>
            <w:noWrap/>
            <w:vAlign w:val="center"/>
            <w:hideMark/>
          </w:tcPr>
          <w:p w14:paraId="74D9F73A" w14:textId="5C36A5F7" w:rsidR="00037FF9" w:rsidRPr="00E72CF3" w:rsidRDefault="00037FF9" w:rsidP="006A5B07">
            <w:pPr>
              <w:jc w:val="left"/>
              <w:rPr>
                <w:rFonts w:eastAsia="Times New Roman" w:cs="Times New Roman"/>
                <w:sz w:val="18"/>
                <w:szCs w:val="18"/>
              </w:rPr>
            </w:pPr>
            <w:r w:rsidRPr="00E72CF3">
              <w:rPr>
                <w:rFonts w:eastAsia="Times New Roman" w:cs="Times New Roman"/>
                <w:sz w:val="18"/>
                <w:szCs w:val="18"/>
              </w:rPr>
              <w:t>HFO</w:t>
            </w:r>
            <w:r w:rsidR="00D7162C" w:rsidRPr="00D7162C">
              <w:rPr>
                <w:rFonts w:eastAsia="Times New Roman" w:cs="Times New Roman"/>
                <w:sz w:val="18"/>
                <w:szCs w:val="18"/>
                <w:vertAlign w:val="superscript"/>
              </w:rPr>
              <w:t>a</w:t>
            </w:r>
          </w:p>
        </w:tc>
        <w:tc>
          <w:tcPr>
            <w:tcW w:w="566" w:type="pct"/>
            <w:noWrap/>
            <w:vAlign w:val="center"/>
            <w:hideMark/>
          </w:tcPr>
          <w:p w14:paraId="68EE5AE3"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0</w:t>
            </w:r>
          </w:p>
        </w:tc>
        <w:tc>
          <w:tcPr>
            <w:tcW w:w="580" w:type="pct"/>
            <w:noWrap/>
            <w:vAlign w:val="center"/>
            <w:hideMark/>
          </w:tcPr>
          <w:p w14:paraId="1B21A92F"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18.1</w:t>
            </w:r>
          </w:p>
        </w:tc>
        <w:tc>
          <w:tcPr>
            <w:tcW w:w="411" w:type="pct"/>
            <w:noWrap/>
            <w:vAlign w:val="center"/>
            <w:hideMark/>
          </w:tcPr>
          <w:p w14:paraId="75642712"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14</w:t>
            </w:r>
          </w:p>
        </w:tc>
        <w:tc>
          <w:tcPr>
            <w:tcW w:w="411" w:type="pct"/>
            <w:vMerge w:val="restart"/>
            <w:noWrap/>
            <w:vAlign w:val="center"/>
            <w:hideMark/>
          </w:tcPr>
          <w:p w14:paraId="1E3BC3D2" w14:textId="009CA2ED" w:rsidR="00037FF9" w:rsidRPr="00E72CF3" w:rsidRDefault="00037FF9" w:rsidP="000F1A32">
            <w:pPr>
              <w:jc w:val="center"/>
              <w:rPr>
                <w:rFonts w:eastAsia="Times New Roman" w:cs="Times New Roman"/>
                <w:sz w:val="18"/>
                <w:szCs w:val="18"/>
              </w:rPr>
            </w:pPr>
            <w:r>
              <w:rPr>
                <w:rFonts w:eastAsia="Times New Roman" w:cs="Times New Roman"/>
                <w:sz w:val="18"/>
                <w:szCs w:val="18"/>
              </w:rPr>
              <w:t>2.1</w:t>
            </w:r>
          </w:p>
        </w:tc>
        <w:tc>
          <w:tcPr>
            <w:tcW w:w="411" w:type="pct"/>
            <w:vMerge w:val="restart"/>
            <w:noWrap/>
            <w:vAlign w:val="center"/>
            <w:hideMark/>
          </w:tcPr>
          <w:p w14:paraId="75D40084" w14:textId="6F4813EF" w:rsidR="00037FF9" w:rsidRPr="00E72CF3" w:rsidRDefault="00037FF9" w:rsidP="000F1A32">
            <w:pPr>
              <w:jc w:val="center"/>
              <w:rPr>
                <w:rFonts w:eastAsia="Times New Roman" w:cs="Times New Roman"/>
                <w:sz w:val="18"/>
                <w:szCs w:val="18"/>
              </w:rPr>
            </w:pPr>
            <w:r>
              <w:rPr>
                <w:rFonts w:eastAsia="Times New Roman" w:cs="Times New Roman"/>
                <w:sz w:val="18"/>
                <w:szCs w:val="18"/>
              </w:rPr>
              <w:t>6.1</w:t>
            </w:r>
          </w:p>
        </w:tc>
        <w:tc>
          <w:tcPr>
            <w:tcW w:w="409" w:type="pct"/>
            <w:vMerge w:val="restart"/>
            <w:noWrap/>
            <w:vAlign w:val="center"/>
          </w:tcPr>
          <w:p w14:paraId="6124AEC1" w14:textId="044AA959" w:rsidR="00037FF9" w:rsidRPr="00E72CF3" w:rsidRDefault="009D2C7C"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hideMark/>
          </w:tcPr>
          <w:p w14:paraId="5751040B"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14.7</w:t>
            </w:r>
          </w:p>
        </w:tc>
        <w:tc>
          <w:tcPr>
            <w:tcW w:w="411" w:type="pct"/>
            <w:noWrap/>
            <w:vAlign w:val="center"/>
            <w:hideMark/>
          </w:tcPr>
          <w:p w14:paraId="5A150358"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11.6</w:t>
            </w:r>
          </w:p>
        </w:tc>
        <w:tc>
          <w:tcPr>
            <w:tcW w:w="370" w:type="pct"/>
            <w:vMerge w:val="restart"/>
            <w:noWrap/>
            <w:vAlign w:val="center"/>
            <w:hideMark/>
          </w:tcPr>
          <w:p w14:paraId="732E2FA4" w14:textId="37FC723B" w:rsidR="00037FF9" w:rsidRPr="00E72CF3" w:rsidRDefault="00037FF9" w:rsidP="000F1A32">
            <w:pPr>
              <w:jc w:val="center"/>
              <w:rPr>
                <w:rFonts w:eastAsia="Times New Roman" w:cs="Times New Roman"/>
                <w:sz w:val="18"/>
                <w:szCs w:val="18"/>
              </w:rPr>
            </w:pPr>
            <w:r>
              <w:rPr>
                <w:rFonts w:eastAsia="Times New Roman" w:cs="Times New Roman"/>
                <w:sz w:val="18"/>
                <w:szCs w:val="18"/>
              </w:rPr>
              <w:t>-</w:t>
            </w:r>
          </w:p>
        </w:tc>
      </w:tr>
      <w:tr w:rsidR="00037FF9" w:rsidRPr="00E72CF3" w14:paraId="6D784F6C" w14:textId="77777777" w:rsidTr="006A5B07">
        <w:trPr>
          <w:trHeight w:val="20"/>
        </w:trPr>
        <w:tc>
          <w:tcPr>
            <w:tcW w:w="379" w:type="pct"/>
            <w:vMerge/>
            <w:noWrap/>
            <w:vAlign w:val="center"/>
            <w:hideMark/>
          </w:tcPr>
          <w:p w14:paraId="232C08C1" w14:textId="79FD138B" w:rsidR="00037FF9" w:rsidRPr="00E72CF3" w:rsidRDefault="00037FF9" w:rsidP="006A5B07">
            <w:pPr>
              <w:jc w:val="left"/>
              <w:rPr>
                <w:rFonts w:eastAsia="Times New Roman" w:cs="Times New Roman"/>
                <w:sz w:val="18"/>
                <w:szCs w:val="18"/>
              </w:rPr>
            </w:pPr>
          </w:p>
        </w:tc>
        <w:tc>
          <w:tcPr>
            <w:tcW w:w="641" w:type="pct"/>
            <w:vMerge/>
            <w:noWrap/>
            <w:vAlign w:val="center"/>
            <w:hideMark/>
          </w:tcPr>
          <w:p w14:paraId="6B589FCA" w14:textId="6FB08145" w:rsidR="00037FF9" w:rsidRPr="00E72CF3" w:rsidRDefault="00037FF9" w:rsidP="006A5B07">
            <w:pPr>
              <w:jc w:val="left"/>
              <w:rPr>
                <w:rFonts w:eastAsia="Times New Roman" w:cs="Times New Roman"/>
                <w:sz w:val="18"/>
                <w:szCs w:val="18"/>
              </w:rPr>
            </w:pPr>
          </w:p>
        </w:tc>
        <w:tc>
          <w:tcPr>
            <w:tcW w:w="566" w:type="pct"/>
            <w:noWrap/>
            <w:vAlign w:val="center"/>
            <w:hideMark/>
          </w:tcPr>
          <w:p w14:paraId="41F6F3C1"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w:t>
            </w:r>
          </w:p>
        </w:tc>
        <w:tc>
          <w:tcPr>
            <w:tcW w:w="580" w:type="pct"/>
            <w:noWrap/>
            <w:vAlign w:val="center"/>
            <w:hideMark/>
          </w:tcPr>
          <w:p w14:paraId="39F21831"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17</w:t>
            </w:r>
          </w:p>
        </w:tc>
        <w:tc>
          <w:tcPr>
            <w:tcW w:w="411" w:type="pct"/>
            <w:noWrap/>
            <w:vAlign w:val="center"/>
            <w:hideMark/>
          </w:tcPr>
          <w:p w14:paraId="1796EAEB"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13</w:t>
            </w:r>
          </w:p>
        </w:tc>
        <w:tc>
          <w:tcPr>
            <w:tcW w:w="411" w:type="pct"/>
            <w:vMerge/>
            <w:noWrap/>
            <w:vAlign w:val="center"/>
            <w:hideMark/>
          </w:tcPr>
          <w:p w14:paraId="13BEE80E" w14:textId="70A04558" w:rsidR="00037FF9" w:rsidRPr="00E72CF3" w:rsidRDefault="00037FF9" w:rsidP="000F1A32">
            <w:pPr>
              <w:jc w:val="center"/>
              <w:rPr>
                <w:rFonts w:eastAsia="Times New Roman" w:cs="Times New Roman"/>
                <w:sz w:val="18"/>
                <w:szCs w:val="18"/>
              </w:rPr>
            </w:pPr>
          </w:p>
        </w:tc>
        <w:tc>
          <w:tcPr>
            <w:tcW w:w="411" w:type="pct"/>
            <w:vMerge/>
            <w:noWrap/>
            <w:vAlign w:val="center"/>
            <w:hideMark/>
          </w:tcPr>
          <w:p w14:paraId="1DD91AC8" w14:textId="738AB41A" w:rsidR="00037FF9" w:rsidRPr="00E72CF3" w:rsidRDefault="00037FF9" w:rsidP="000F1A32">
            <w:pPr>
              <w:jc w:val="center"/>
              <w:rPr>
                <w:rFonts w:eastAsia="Times New Roman" w:cs="Times New Roman"/>
                <w:sz w:val="18"/>
                <w:szCs w:val="18"/>
              </w:rPr>
            </w:pPr>
          </w:p>
        </w:tc>
        <w:tc>
          <w:tcPr>
            <w:tcW w:w="409" w:type="pct"/>
            <w:vMerge/>
            <w:noWrap/>
            <w:vAlign w:val="center"/>
          </w:tcPr>
          <w:p w14:paraId="2CE53F40" w14:textId="3AA97A72" w:rsidR="00037FF9" w:rsidRPr="00E72CF3" w:rsidRDefault="00037FF9" w:rsidP="000F1A32">
            <w:pPr>
              <w:jc w:val="center"/>
              <w:rPr>
                <w:rFonts w:eastAsia="Times New Roman" w:cs="Times New Roman"/>
                <w:sz w:val="18"/>
                <w:szCs w:val="18"/>
              </w:rPr>
            </w:pPr>
          </w:p>
        </w:tc>
        <w:tc>
          <w:tcPr>
            <w:tcW w:w="411" w:type="pct"/>
            <w:noWrap/>
            <w:vAlign w:val="center"/>
            <w:hideMark/>
          </w:tcPr>
          <w:p w14:paraId="71B856DC"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13</w:t>
            </w:r>
          </w:p>
        </w:tc>
        <w:tc>
          <w:tcPr>
            <w:tcW w:w="411" w:type="pct"/>
            <w:noWrap/>
            <w:vAlign w:val="center"/>
            <w:hideMark/>
          </w:tcPr>
          <w:p w14:paraId="47E9233E"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10.4</w:t>
            </w:r>
          </w:p>
        </w:tc>
        <w:tc>
          <w:tcPr>
            <w:tcW w:w="370" w:type="pct"/>
            <w:vMerge/>
            <w:noWrap/>
            <w:vAlign w:val="center"/>
            <w:hideMark/>
          </w:tcPr>
          <w:p w14:paraId="55F9DBF6" w14:textId="0E3D07B0" w:rsidR="00037FF9" w:rsidRPr="00E72CF3" w:rsidRDefault="00037FF9" w:rsidP="000F1A32">
            <w:pPr>
              <w:jc w:val="center"/>
              <w:rPr>
                <w:rFonts w:eastAsia="Times New Roman" w:cs="Times New Roman"/>
                <w:sz w:val="18"/>
                <w:szCs w:val="18"/>
              </w:rPr>
            </w:pPr>
          </w:p>
        </w:tc>
      </w:tr>
      <w:tr w:rsidR="00037FF9" w:rsidRPr="00E72CF3" w14:paraId="26ED28B2" w14:textId="77777777" w:rsidTr="006A5B07">
        <w:trPr>
          <w:trHeight w:val="20"/>
        </w:trPr>
        <w:tc>
          <w:tcPr>
            <w:tcW w:w="379" w:type="pct"/>
            <w:vMerge/>
            <w:noWrap/>
            <w:vAlign w:val="center"/>
            <w:hideMark/>
          </w:tcPr>
          <w:p w14:paraId="3B8BC105" w14:textId="2D51F858" w:rsidR="00037FF9" w:rsidRPr="00E72CF3" w:rsidRDefault="00037FF9" w:rsidP="006A5B07">
            <w:pPr>
              <w:jc w:val="left"/>
              <w:rPr>
                <w:rFonts w:eastAsia="Times New Roman" w:cs="Times New Roman"/>
                <w:sz w:val="18"/>
                <w:szCs w:val="18"/>
              </w:rPr>
            </w:pPr>
          </w:p>
        </w:tc>
        <w:tc>
          <w:tcPr>
            <w:tcW w:w="641" w:type="pct"/>
            <w:vMerge/>
            <w:noWrap/>
            <w:vAlign w:val="center"/>
            <w:hideMark/>
          </w:tcPr>
          <w:p w14:paraId="7B78AE1C" w14:textId="2A13F083" w:rsidR="00037FF9" w:rsidRPr="00E72CF3" w:rsidRDefault="00037FF9" w:rsidP="006A5B07">
            <w:pPr>
              <w:jc w:val="left"/>
              <w:rPr>
                <w:rFonts w:eastAsia="Times New Roman" w:cs="Times New Roman"/>
                <w:sz w:val="18"/>
                <w:szCs w:val="18"/>
              </w:rPr>
            </w:pPr>
          </w:p>
        </w:tc>
        <w:tc>
          <w:tcPr>
            <w:tcW w:w="566" w:type="pct"/>
            <w:noWrap/>
            <w:vAlign w:val="center"/>
            <w:hideMark/>
          </w:tcPr>
          <w:p w14:paraId="5FBC6B72"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2</w:t>
            </w:r>
          </w:p>
        </w:tc>
        <w:tc>
          <w:tcPr>
            <w:tcW w:w="580" w:type="pct"/>
            <w:noWrap/>
            <w:vAlign w:val="center"/>
            <w:hideMark/>
          </w:tcPr>
          <w:p w14:paraId="5A72D73E"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15.3</w:t>
            </w:r>
          </w:p>
        </w:tc>
        <w:tc>
          <w:tcPr>
            <w:tcW w:w="411" w:type="pct"/>
            <w:noWrap/>
            <w:vAlign w:val="center"/>
            <w:hideMark/>
          </w:tcPr>
          <w:p w14:paraId="02B855C5"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11.2</w:t>
            </w:r>
          </w:p>
        </w:tc>
        <w:tc>
          <w:tcPr>
            <w:tcW w:w="411" w:type="pct"/>
            <w:vMerge/>
            <w:noWrap/>
            <w:vAlign w:val="center"/>
            <w:hideMark/>
          </w:tcPr>
          <w:p w14:paraId="74BF1DC9" w14:textId="040DE929" w:rsidR="00037FF9" w:rsidRPr="00E72CF3" w:rsidRDefault="00037FF9" w:rsidP="000F1A32">
            <w:pPr>
              <w:jc w:val="center"/>
              <w:rPr>
                <w:rFonts w:eastAsia="Times New Roman" w:cs="Times New Roman"/>
                <w:sz w:val="18"/>
                <w:szCs w:val="18"/>
              </w:rPr>
            </w:pPr>
          </w:p>
        </w:tc>
        <w:tc>
          <w:tcPr>
            <w:tcW w:w="411" w:type="pct"/>
            <w:vMerge/>
            <w:noWrap/>
            <w:vAlign w:val="center"/>
            <w:hideMark/>
          </w:tcPr>
          <w:p w14:paraId="62E6A334" w14:textId="6E35B229" w:rsidR="00037FF9" w:rsidRPr="00E72CF3" w:rsidRDefault="00037FF9" w:rsidP="000F1A32">
            <w:pPr>
              <w:jc w:val="center"/>
              <w:rPr>
                <w:rFonts w:eastAsia="Times New Roman" w:cs="Times New Roman"/>
                <w:sz w:val="18"/>
                <w:szCs w:val="18"/>
              </w:rPr>
            </w:pPr>
          </w:p>
        </w:tc>
        <w:tc>
          <w:tcPr>
            <w:tcW w:w="409" w:type="pct"/>
            <w:vMerge/>
            <w:noWrap/>
            <w:vAlign w:val="center"/>
          </w:tcPr>
          <w:p w14:paraId="450FE41F" w14:textId="7952F52A" w:rsidR="00037FF9" w:rsidRPr="00E72CF3" w:rsidRDefault="00037FF9" w:rsidP="000F1A32">
            <w:pPr>
              <w:jc w:val="center"/>
              <w:rPr>
                <w:rFonts w:eastAsia="Times New Roman" w:cs="Times New Roman"/>
                <w:sz w:val="18"/>
                <w:szCs w:val="18"/>
              </w:rPr>
            </w:pPr>
          </w:p>
        </w:tc>
        <w:tc>
          <w:tcPr>
            <w:tcW w:w="411" w:type="pct"/>
            <w:noWrap/>
            <w:vAlign w:val="center"/>
            <w:hideMark/>
          </w:tcPr>
          <w:p w14:paraId="0DAF5820"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11.2</w:t>
            </w:r>
          </w:p>
        </w:tc>
        <w:tc>
          <w:tcPr>
            <w:tcW w:w="411" w:type="pct"/>
            <w:noWrap/>
            <w:vAlign w:val="center"/>
            <w:hideMark/>
          </w:tcPr>
          <w:p w14:paraId="1AD47574"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8.2</w:t>
            </w:r>
          </w:p>
        </w:tc>
        <w:tc>
          <w:tcPr>
            <w:tcW w:w="370" w:type="pct"/>
            <w:vMerge/>
            <w:noWrap/>
            <w:vAlign w:val="center"/>
            <w:hideMark/>
          </w:tcPr>
          <w:p w14:paraId="63AAB4F6" w14:textId="3EC94374" w:rsidR="00037FF9" w:rsidRPr="00E72CF3" w:rsidRDefault="00037FF9" w:rsidP="000F1A32">
            <w:pPr>
              <w:jc w:val="center"/>
              <w:rPr>
                <w:rFonts w:eastAsia="Times New Roman" w:cs="Times New Roman"/>
                <w:sz w:val="18"/>
                <w:szCs w:val="18"/>
              </w:rPr>
            </w:pPr>
          </w:p>
        </w:tc>
      </w:tr>
      <w:tr w:rsidR="00037FF9" w:rsidRPr="00E72CF3" w14:paraId="5E0A8E8C" w14:textId="77777777" w:rsidTr="006A5B07">
        <w:trPr>
          <w:trHeight w:val="20"/>
        </w:trPr>
        <w:tc>
          <w:tcPr>
            <w:tcW w:w="379" w:type="pct"/>
            <w:vMerge/>
            <w:noWrap/>
            <w:vAlign w:val="center"/>
            <w:hideMark/>
          </w:tcPr>
          <w:p w14:paraId="733EFAA5" w14:textId="227DBA88" w:rsidR="00037FF9" w:rsidRPr="00E72CF3" w:rsidRDefault="00037FF9" w:rsidP="006A5B07">
            <w:pPr>
              <w:jc w:val="left"/>
              <w:rPr>
                <w:rFonts w:eastAsia="Times New Roman" w:cs="Times New Roman"/>
                <w:sz w:val="18"/>
                <w:szCs w:val="18"/>
              </w:rPr>
            </w:pPr>
          </w:p>
        </w:tc>
        <w:tc>
          <w:tcPr>
            <w:tcW w:w="641" w:type="pct"/>
            <w:vMerge/>
            <w:noWrap/>
            <w:vAlign w:val="center"/>
            <w:hideMark/>
          </w:tcPr>
          <w:p w14:paraId="52227ECE" w14:textId="18C7BED9" w:rsidR="00037FF9" w:rsidRPr="00E72CF3" w:rsidRDefault="00037FF9" w:rsidP="006A5B07">
            <w:pPr>
              <w:jc w:val="left"/>
              <w:rPr>
                <w:rFonts w:eastAsia="Times New Roman" w:cs="Times New Roman"/>
                <w:sz w:val="18"/>
                <w:szCs w:val="18"/>
              </w:rPr>
            </w:pPr>
          </w:p>
        </w:tc>
        <w:tc>
          <w:tcPr>
            <w:tcW w:w="566" w:type="pct"/>
            <w:noWrap/>
            <w:vAlign w:val="center"/>
            <w:hideMark/>
          </w:tcPr>
          <w:p w14:paraId="10679036"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3</w:t>
            </w:r>
          </w:p>
        </w:tc>
        <w:tc>
          <w:tcPr>
            <w:tcW w:w="580" w:type="pct"/>
            <w:noWrap/>
            <w:vAlign w:val="center"/>
            <w:hideMark/>
          </w:tcPr>
          <w:p w14:paraId="70142641"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3.4</w:t>
            </w:r>
          </w:p>
        </w:tc>
        <w:tc>
          <w:tcPr>
            <w:tcW w:w="411" w:type="pct"/>
            <w:noWrap/>
            <w:vAlign w:val="center"/>
            <w:hideMark/>
          </w:tcPr>
          <w:p w14:paraId="500C861F"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2.6</w:t>
            </w:r>
          </w:p>
        </w:tc>
        <w:tc>
          <w:tcPr>
            <w:tcW w:w="411" w:type="pct"/>
            <w:vMerge/>
            <w:noWrap/>
            <w:vAlign w:val="center"/>
            <w:hideMark/>
          </w:tcPr>
          <w:p w14:paraId="0B822C81" w14:textId="24CFCDF1" w:rsidR="00037FF9" w:rsidRPr="00E72CF3" w:rsidRDefault="00037FF9" w:rsidP="000F1A32">
            <w:pPr>
              <w:jc w:val="center"/>
              <w:rPr>
                <w:rFonts w:eastAsia="Times New Roman" w:cs="Times New Roman"/>
                <w:sz w:val="18"/>
                <w:szCs w:val="18"/>
              </w:rPr>
            </w:pPr>
          </w:p>
        </w:tc>
        <w:tc>
          <w:tcPr>
            <w:tcW w:w="411" w:type="pct"/>
            <w:vMerge/>
            <w:noWrap/>
            <w:vAlign w:val="center"/>
            <w:hideMark/>
          </w:tcPr>
          <w:p w14:paraId="1BF21127" w14:textId="73D38B59" w:rsidR="00037FF9" w:rsidRPr="00E72CF3" w:rsidRDefault="00037FF9" w:rsidP="000F1A32">
            <w:pPr>
              <w:jc w:val="center"/>
              <w:rPr>
                <w:rFonts w:eastAsia="Times New Roman" w:cs="Times New Roman"/>
                <w:sz w:val="18"/>
                <w:szCs w:val="18"/>
              </w:rPr>
            </w:pPr>
          </w:p>
        </w:tc>
        <w:tc>
          <w:tcPr>
            <w:tcW w:w="409" w:type="pct"/>
            <w:vMerge/>
            <w:noWrap/>
            <w:vAlign w:val="center"/>
          </w:tcPr>
          <w:p w14:paraId="3088D92A" w14:textId="0B616AEF" w:rsidR="00037FF9" w:rsidRPr="00E72CF3" w:rsidRDefault="00037FF9" w:rsidP="000F1A32">
            <w:pPr>
              <w:jc w:val="center"/>
              <w:rPr>
                <w:rFonts w:eastAsia="Times New Roman" w:cs="Times New Roman"/>
                <w:sz w:val="18"/>
                <w:szCs w:val="18"/>
              </w:rPr>
            </w:pPr>
          </w:p>
        </w:tc>
        <w:tc>
          <w:tcPr>
            <w:tcW w:w="411" w:type="pct"/>
            <w:noWrap/>
            <w:vAlign w:val="center"/>
            <w:hideMark/>
          </w:tcPr>
          <w:p w14:paraId="0CFFEB7D"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2</w:t>
            </w:r>
          </w:p>
        </w:tc>
        <w:tc>
          <w:tcPr>
            <w:tcW w:w="411" w:type="pct"/>
            <w:noWrap/>
            <w:vAlign w:val="center"/>
            <w:hideMark/>
          </w:tcPr>
          <w:p w14:paraId="50F9DBF9"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2.6</w:t>
            </w:r>
          </w:p>
        </w:tc>
        <w:tc>
          <w:tcPr>
            <w:tcW w:w="370" w:type="pct"/>
            <w:vMerge/>
            <w:noWrap/>
            <w:vAlign w:val="center"/>
            <w:hideMark/>
          </w:tcPr>
          <w:p w14:paraId="1C78B6D3" w14:textId="3A072B19" w:rsidR="00037FF9" w:rsidRPr="00E72CF3" w:rsidRDefault="00037FF9" w:rsidP="000F1A32">
            <w:pPr>
              <w:jc w:val="center"/>
              <w:rPr>
                <w:rFonts w:eastAsia="Times New Roman" w:cs="Times New Roman"/>
                <w:sz w:val="18"/>
                <w:szCs w:val="18"/>
              </w:rPr>
            </w:pPr>
          </w:p>
        </w:tc>
      </w:tr>
      <w:tr w:rsidR="00037FF9" w:rsidRPr="00E72CF3" w14:paraId="4CB687CB" w14:textId="77777777" w:rsidTr="006A5B07">
        <w:trPr>
          <w:trHeight w:val="20"/>
        </w:trPr>
        <w:tc>
          <w:tcPr>
            <w:tcW w:w="379" w:type="pct"/>
            <w:vMerge/>
            <w:noWrap/>
            <w:vAlign w:val="center"/>
            <w:hideMark/>
          </w:tcPr>
          <w:p w14:paraId="560B7F27" w14:textId="3F53FC0E" w:rsidR="00037FF9" w:rsidRPr="00E72CF3" w:rsidRDefault="00037FF9" w:rsidP="006A5B07">
            <w:pPr>
              <w:jc w:val="left"/>
              <w:rPr>
                <w:rFonts w:eastAsia="Times New Roman" w:cs="Times New Roman"/>
                <w:sz w:val="18"/>
                <w:szCs w:val="18"/>
              </w:rPr>
            </w:pPr>
          </w:p>
        </w:tc>
        <w:tc>
          <w:tcPr>
            <w:tcW w:w="641" w:type="pct"/>
            <w:vMerge w:val="restart"/>
            <w:noWrap/>
            <w:vAlign w:val="center"/>
            <w:hideMark/>
          </w:tcPr>
          <w:p w14:paraId="1219E365" w14:textId="3960DB68" w:rsidR="00037FF9" w:rsidRPr="00E72CF3" w:rsidRDefault="00037FF9" w:rsidP="006A5B07">
            <w:pPr>
              <w:jc w:val="left"/>
              <w:rPr>
                <w:rFonts w:eastAsia="Times New Roman" w:cs="Times New Roman"/>
                <w:sz w:val="18"/>
                <w:szCs w:val="18"/>
              </w:rPr>
            </w:pPr>
            <w:r w:rsidRPr="00E72CF3">
              <w:rPr>
                <w:rFonts w:eastAsia="Times New Roman" w:cs="Times New Roman"/>
                <w:sz w:val="18"/>
                <w:szCs w:val="18"/>
              </w:rPr>
              <w:t>MGO/MDO</w:t>
            </w:r>
            <w:r w:rsidR="00D7162C" w:rsidRPr="00D7162C">
              <w:rPr>
                <w:rFonts w:eastAsia="Times New Roman" w:cs="Times New Roman"/>
                <w:sz w:val="18"/>
                <w:szCs w:val="18"/>
                <w:vertAlign w:val="superscript"/>
              </w:rPr>
              <w:t>a</w:t>
            </w:r>
          </w:p>
        </w:tc>
        <w:tc>
          <w:tcPr>
            <w:tcW w:w="566" w:type="pct"/>
            <w:noWrap/>
            <w:vAlign w:val="center"/>
            <w:hideMark/>
          </w:tcPr>
          <w:p w14:paraId="06356692"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0</w:t>
            </w:r>
          </w:p>
        </w:tc>
        <w:tc>
          <w:tcPr>
            <w:tcW w:w="580" w:type="pct"/>
            <w:noWrap/>
            <w:vAlign w:val="center"/>
            <w:hideMark/>
          </w:tcPr>
          <w:p w14:paraId="49ACB074"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17</w:t>
            </w:r>
          </w:p>
        </w:tc>
        <w:tc>
          <w:tcPr>
            <w:tcW w:w="411" w:type="pct"/>
            <w:noWrap/>
            <w:vAlign w:val="center"/>
            <w:hideMark/>
          </w:tcPr>
          <w:p w14:paraId="00FA1B93"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13.2</w:t>
            </w:r>
          </w:p>
        </w:tc>
        <w:tc>
          <w:tcPr>
            <w:tcW w:w="411" w:type="pct"/>
            <w:vMerge w:val="restart"/>
            <w:noWrap/>
            <w:vAlign w:val="center"/>
            <w:hideMark/>
          </w:tcPr>
          <w:p w14:paraId="16008A2E" w14:textId="60231128" w:rsidR="00037FF9" w:rsidRPr="00E72CF3" w:rsidRDefault="00037FF9" w:rsidP="000F1A32">
            <w:pPr>
              <w:jc w:val="center"/>
              <w:rPr>
                <w:rFonts w:eastAsia="Times New Roman" w:cs="Times New Roman"/>
                <w:sz w:val="18"/>
                <w:szCs w:val="18"/>
              </w:rPr>
            </w:pPr>
            <w:r>
              <w:rPr>
                <w:rFonts w:eastAsia="Times New Roman" w:cs="Times New Roman"/>
                <w:sz w:val="18"/>
                <w:szCs w:val="18"/>
              </w:rPr>
              <w:t>2.0</w:t>
            </w:r>
          </w:p>
        </w:tc>
        <w:tc>
          <w:tcPr>
            <w:tcW w:w="411" w:type="pct"/>
            <w:vMerge w:val="restart"/>
            <w:noWrap/>
            <w:vAlign w:val="center"/>
            <w:hideMark/>
          </w:tcPr>
          <w:p w14:paraId="2DC1CDE5" w14:textId="768FABD7" w:rsidR="00037FF9" w:rsidRPr="00E72CF3" w:rsidRDefault="00037FF9" w:rsidP="000F1A32">
            <w:pPr>
              <w:jc w:val="center"/>
              <w:rPr>
                <w:rFonts w:eastAsia="Times New Roman" w:cs="Times New Roman"/>
                <w:sz w:val="18"/>
                <w:szCs w:val="18"/>
              </w:rPr>
            </w:pPr>
            <w:r>
              <w:rPr>
                <w:rFonts w:eastAsia="Times New Roman" w:cs="Times New Roman"/>
                <w:sz w:val="18"/>
                <w:szCs w:val="18"/>
              </w:rPr>
              <w:t>5.7</w:t>
            </w:r>
          </w:p>
        </w:tc>
        <w:tc>
          <w:tcPr>
            <w:tcW w:w="409" w:type="pct"/>
            <w:vMerge/>
            <w:noWrap/>
            <w:vAlign w:val="center"/>
          </w:tcPr>
          <w:p w14:paraId="7F049E98" w14:textId="337D142D" w:rsidR="00037FF9" w:rsidRPr="00E72CF3" w:rsidRDefault="00037FF9" w:rsidP="000F1A32">
            <w:pPr>
              <w:jc w:val="center"/>
              <w:rPr>
                <w:rFonts w:eastAsia="Times New Roman" w:cs="Times New Roman"/>
                <w:sz w:val="18"/>
                <w:szCs w:val="18"/>
              </w:rPr>
            </w:pPr>
          </w:p>
        </w:tc>
        <w:tc>
          <w:tcPr>
            <w:tcW w:w="411" w:type="pct"/>
            <w:noWrap/>
            <w:vAlign w:val="center"/>
            <w:hideMark/>
          </w:tcPr>
          <w:p w14:paraId="6F4531F4"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10.9</w:t>
            </w:r>
          </w:p>
        </w:tc>
        <w:tc>
          <w:tcPr>
            <w:tcW w:w="411" w:type="pct"/>
            <w:noWrap/>
            <w:vAlign w:val="center"/>
            <w:hideMark/>
          </w:tcPr>
          <w:p w14:paraId="4C9A421E"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13.8</w:t>
            </w:r>
          </w:p>
        </w:tc>
        <w:tc>
          <w:tcPr>
            <w:tcW w:w="370" w:type="pct"/>
            <w:vMerge/>
            <w:noWrap/>
            <w:vAlign w:val="center"/>
            <w:hideMark/>
          </w:tcPr>
          <w:p w14:paraId="54E76911" w14:textId="4C274088" w:rsidR="00037FF9" w:rsidRPr="00E72CF3" w:rsidRDefault="00037FF9" w:rsidP="000F1A32">
            <w:pPr>
              <w:jc w:val="center"/>
              <w:rPr>
                <w:rFonts w:eastAsia="Times New Roman" w:cs="Times New Roman"/>
                <w:sz w:val="18"/>
                <w:szCs w:val="18"/>
              </w:rPr>
            </w:pPr>
          </w:p>
        </w:tc>
      </w:tr>
      <w:tr w:rsidR="00037FF9" w:rsidRPr="00E72CF3" w14:paraId="74BBD51C" w14:textId="77777777" w:rsidTr="006A5B07">
        <w:trPr>
          <w:trHeight w:val="20"/>
        </w:trPr>
        <w:tc>
          <w:tcPr>
            <w:tcW w:w="379" w:type="pct"/>
            <w:vMerge/>
            <w:noWrap/>
            <w:vAlign w:val="center"/>
            <w:hideMark/>
          </w:tcPr>
          <w:p w14:paraId="11844FB0" w14:textId="2543ED57" w:rsidR="00037FF9" w:rsidRPr="00E72CF3" w:rsidRDefault="00037FF9" w:rsidP="006A5B07">
            <w:pPr>
              <w:jc w:val="left"/>
              <w:rPr>
                <w:rFonts w:eastAsia="Times New Roman" w:cs="Times New Roman"/>
                <w:sz w:val="18"/>
                <w:szCs w:val="18"/>
              </w:rPr>
            </w:pPr>
          </w:p>
        </w:tc>
        <w:tc>
          <w:tcPr>
            <w:tcW w:w="641" w:type="pct"/>
            <w:vMerge/>
            <w:noWrap/>
            <w:vAlign w:val="center"/>
            <w:hideMark/>
          </w:tcPr>
          <w:p w14:paraId="1BF1DDB8" w14:textId="7F38ADF3" w:rsidR="00037FF9" w:rsidRPr="00E72CF3" w:rsidRDefault="00037FF9" w:rsidP="006A5B07">
            <w:pPr>
              <w:jc w:val="left"/>
              <w:rPr>
                <w:rFonts w:eastAsia="Times New Roman" w:cs="Times New Roman"/>
                <w:sz w:val="18"/>
                <w:szCs w:val="18"/>
              </w:rPr>
            </w:pPr>
          </w:p>
        </w:tc>
        <w:tc>
          <w:tcPr>
            <w:tcW w:w="566" w:type="pct"/>
            <w:noWrap/>
            <w:vAlign w:val="center"/>
            <w:hideMark/>
          </w:tcPr>
          <w:p w14:paraId="28D399F6"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w:t>
            </w:r>
          </w:p>
        </w:tc>
        <w:tc>
          <w:tcPr>
            <w:tcW w:w="580" w:type="pct"/>
            <w:noWrap/>
            <w:vAlign w:val="center"/>
            <w:hideMark/>
          </w:tcPr>
          <w:p w14:paraId="58C63C18"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16</w:t>
            </w:r>
          </w:p>
        </w:tc>
        <w:tc>
          <w:tcPr>
            <w:tcW w:w="411" w:type="pct"/>
            <w:noWrap/>
            <w:vAlign w:val="center"/>
            <w:hideMark/>
          </w:tcPr>
          <w:p w14:paraId="47FC5ABB"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12.2</w:t>
            </w:r>
          </w:p>
        </w:tc>
        <w:tc>
          <w:tcPr>
            <w:tcW w:w="411" w:type="pct"/>
            <w:vMerge/>
            <w:noWrap/>
            <w:vAlign w:val="center"/>
            <w:hideMark/>
          </w:tcPr>
          <w:p w14:paraId="373194FF" w14:textId="329A50E0" w:rsidR="00037FF9" w:rsidRPr="00E72CF3" w:rsidRDefault="00037FF9" w:rsidP="000F1A32">
            <w:pPr>
              <w:jc w:val="center"/>
              <w:rPr>
                <w:rFonts w:eastAsia="Times New Roman" w:cs="Times New Roman"/>
                <w:sz w:val="18"/>
                <w:szCs w:val="18"/>
              </w:rPr>
            </w:pPr>
          </w:p>
        </w:tc>
        <w:tc>
          <w:tcPr>
            <w:tcW w:w="411" w:type="pct"/>
            <w:vMerge/>
            <w:noWrap/>
            <w:vAlign w:val="center"/>
            <w:hideMark/>
          </w:tcPr>
          <w:p w14:paraId="042DC50B" w14:textId="6D0D5F66" w:rsidR="00037FF9" w:rsidRPr="00E72CF3" w:rsidRDefault="00037FF9" w:rsidP="000F1A32">
            <w:pPr>
              <w:jc w:val="center"/>
              <w:rPr>
                <w:rFonts w:eastAsia="Times New Roman" w:cs="Times New Roman"/>
                <w:sz w:val="18"/>
                <w:szCs w:val="18"/>
              </w:rPr>
            </w:pPr>
          </w:p>
        </w:tc>
        <w:tc>
          <w:tcPr>
            <w:tcW w:w="409" w:type="pct"/>
            <w:vMerge/>
            <w:noWrap/>
            <w:vAlign w:val="center"/>
          </w:tcPr>
          <w:p w14:paraId="6AECF8A2" w14:textId="18878B24" w:rsidR="00037FF9" w:rsidRPr="00E72CF3" w:rsidRDefault="00037FF9" w:rsidP="000F1A32">
            <w:pPr>
              <w:jc w:val="center"/>
              <w:rPr>
                <w:rFonts w:eastAsia="Times New Roman" w:cs="Times New Roman"/>
                <w:sz w:val="18"/>
                <w:szCs w:val="18"/>
              </w:rPr>
            </w:pPr>
          </w:p>
        </w:tc>
        <w:tc>
          <w:tcPr>
            <w:tcW w:w="411" w:type="pct"/>
            <w:noWrap/>
            <w:vAlign w:val="center"/>
            <w:hideMark/>
          </w:tcPr>
          <w:p w14:paraId="200B3D30"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9.8</w:t>
            </w:r>
          </w:p>
        </w:tc>
        <w:tc>
          <w:tcPr>
            <w:tcW w:w="411" w:type="pct"/>
            <w:noWrap/>
            <w:vAlign w:val="center"/>
            <w:hideMark/>
          </w:tcPr>
          <w:p w14:paraId="6A372849"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12.2</w:t>
            </w:r>
          </w:p>
        </w:tc>
        <w:tc>
          <w:tcPr>
            <w:tcW w:w="370" w:type="pct"/>
            <w:vMerge/>
            <w:noWrap/>
            <w:vAlign w:val="center"/>
            <w:hideMark/>
          </w:tcPr>
          <w:p w14:paraId="61116E28" w14:textId="3080B5B4" w:rsidR="00037FF9" w:rsidRPr="00E72CF3" w:rsidRDefault="00037FF9" w:rsidP="000F1A32">
            <w:pPr>
              <w:jc w:val="center"/>
              <w:rPr>
                <w:rFonts w:eastAsia="Times New Roman" w:cs="Times New Roman"/>
                <w:sz w:val="18"/>
                <w:szCs w:val="18"/>
              </w:rPr>
            </w:pPr>
          </w:p>
        </w:tc>
      </w:tr>
      <w:tr w:rsidR="00037FF9" w:rsidRPr="00E72CF3" w14:paraId="18B96B1F" w14:textId="77777777" w:rsidTr="006A5B07">
        <w:trPr>
          <w:trHeight w:val="20"/>
        </w:trPr>
        <w:tc>
          <w:tcPr>
            <w:tcW w:w="379" w:type="pct"/>
            <w:vMerge/>
            <w:noWrap/>
            <w:vAlign w:val="center"/>
            <w:hideMark/>
          </w:tcPr>
          <w:p w14:paraId="64EB988B" w14:textId="6F0781A4" w:rsidR="00037FF9" w:rsidRPr="00E72CF3" w:rsidRDefault="00037FF9" w:rsidP="006A5B07">
            <w:pPr>
              <w:jc w:val="left"/>
              <w:rPr>
                <w:rFonts w:eastAsia="Times New Roman" w:cs="Times New Roman"/>
                <w:sz w:val="18"/>
                <w:szCs w:val="18"/>
              </w:rPr>
            </w:pPr>
          </w:p>
        </w:tc>
        <w:tc>
          <w:tcPr>
            <w:tcW w:w="641" w:type="pct"/>
            <w:vMerge/>
            <w:noWrap/>
            <w:vAlign w:val="center"/>
            <w:hideMark/>
          </w:tcPr>
          <w:p w14:paraId="3D47F2A0" w14:textId="13673C95" w:rsidR="00037FF9" w:rsidRPr="00E72CF3" w:rsidRDefault="00037FF9" w:rsidP="006A5B07">
            <w:pPr>
              <w:jc w:val="left"/>
              <w:rPr>
                <w:rFonts w:eastAsia="Times New Roman" w:cs="Times New Roman"/>
                <w:sz w:val="18"/>
                <w:szCs w:val="18"/>
              </w:rPr>
            </w:pPr>
          </w:p>
        </w:tc>
        <w:tc>
          <w:tcPr>
            <w:tcW w:w="566" w:type="pct"/>
            <w:noWrap/>
            <w:vAlign w:val="center"/>
            <w:hideMark/>
          </w:tcPr>
          <w:p w14:paraId="0C33ADB5"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2</w:t>
            </w:r>
          </w:p>
        </w:tc>
        <w:tc>
          <w:tcPr>
            <w:tcW w:w="580" w:type="pct"/>
            <w:noWrap/>
            <w:vAlign w:val="center"/>
            <w:hideMark/>
          </w:tcPr>
          <w:p w14:paraId="359BBA78"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14.4</w:t>
            </w:r>
          </w:p>
        </w:tc>
        <w:tc>
          <w:tcPr>
            <w:tcW w:w="411" w:type="pct"/>
            <w:noWrap/>
            <w:vAlign w:val="center"/>
            <w:hideMark/>
          </w:tcPr>
          <w:p w14:paraId="324D4C89"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10.5</w:t>
            </w:r>
          </w:p>
        </w:tc>
        <w:tc>
          <w:tcPr>
            <w:tcW w:w="411" w:type="pct"/>
            <w:vMerge/>
            <w:noWrap/>
            <w:vAlign w:val="center"/>
            <w:hideMark/>
          </w:tcPr>
          <w:p w14:paraId="5A7DED6C" w14:textId="203AB422" w:rsidR="00037FF9" w:rsidRPr="00E72CF3" w:rsidRDefault="00037FF9" w:rsidP="000F1A32">
            <w:pPr>
              <w:jc w:val="center"/>
              <w:rPr>
                <w:rFonts w:eastAsia="Times New Roman" w:cs="Times New Roman"/>
                <w:sz w:val="18"/>
                <w:szCs w:val="18"/>
              </w:rPr>
            </w:pPr>
          </w:p>
        </w:tc>
        <w:tc>
          <w:tcPr>
            <w:tcW w:w="411" w:type="pct"/>
            <w:vMerge/>
            <w:noWrap/>
            <w:vAlign w:val="center"/>
            <w:hideMark/>
          </w:tcPr>
          <w:p w14:paraId="2C0A3748" w14:textId="272056E4" w:rsidR="00037FF9" w:rsidRPr="00E72CF3" w:rsidRDefault="00037FF9" w:rsidP="000F1A32">
            <w:pPr>
              <w:jc w:val="center"/>
              <w:rPr>
                <w:rFonts w:eastAsia="Times New Roman" w:cs="Times New Roman"/>
                <w:sz w:val="18"/>
                <w:szCs w:val="18"/>
              </w:rPr>
            </w:pPr>
          </w:p>
        </w:tc>
        <w:tc>
          <w:tcPr>
            <w:tcW w:w="409" w:type="pct"/>
            <w:vMerge/>
            <w:noWrap/>
            <w:vAlign w:val="center"/>
          </w:tcPr>
          <w:p w14:paraId="1EF77FFA" w14:textId="1AA1DD7A" w:rsidR="00037FF9" w:rsidRPr="00E72CF3" w:rsidRDefault="00037FF9" w:rsidP="000F1A32">
            <w:pPr>
              <w:jc w:val="center"/>
              <w:rPr>
                <w:rFonts w:eastAsia="Times New Roman" w:cs="Times New Roman"/>
                <w:sz w:val="18"/>
                <w:szCs w:val="18"/>
              </w:rPr>
            </w:pPr>
          </w:p>
        </w:tc>
        <w:tc>
          <w:tcPr>
            <w:tcW w:w="411" w:type="pct"/>
            <w:noWrap/>
            <w:vAlign w:val="center"/>
            <w:hideMark/>
          </w:tcPr>
          <w:p w14:paraId="17F563DA"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7.7</w:t>
            </w:r>
          </w:p>
        </w:tc>
        <w:tc>
          <w:tcPr>
            <w:tcW w:w="411" w:type="pct"/>
            <w:noWrap/>
            <w:vAlign w:val="center"/>
            <w:hideMark/>
          </w:tcPr>
          <w:p w14:paraId="3C04675B"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10.5</w:t>
            </w:r>
          </w:p>
        </w:tc>
        <w:tc>
          <w:tcPr>
            <w:tcW w:w="370" w:type="pct"/>
            <w:vMerge/>
            <w:noWrap/>
            <w:vAlign w:val="center"/>
            <w:hideMark/>
          </w:tcPr>
          <w:p w14:paraId="0FFDDAA3" w14:textId="0541E0E9" w:rsidR="00037FF9" w:rsidRPr="00E72CF3" w:rsidRDefault="00037FF9" w:rsidP="000F1A32">
            <w:pPr>
              <w:jc w:val="center"/>
              <w:rPr>
                <w:rFonts w:eastAsia="Times New Roman" w:cs="Times New Roman"/>
                <w:sz w:val="18"/>
                <w:szCs w:val="18"/>
              </w:rPr>
            </w:pPr>
          </w:p>
        </w:tc>
      </w:tr>
      <w:tr w:rsidR="00037FF9" w:rsidRPr="00E72CF3" w14:paraId="70DF89ED" w14:textId="77777777" w:rsidTr="006A5B07">
        <w:trPr>
          <w:trHeight w:val="20"/>
        </w:trPr>
        <w:tc>
          <w:tcPr>
            <w:tcW w:w="379" w:type="pct"/>
            <w:vMerge/>
            <w:noWrap/>
            <w:vAlign w:val="center"/>
            <w:hideMark/>
          </w:tcPr>
          <w:p w14:paraId="1C4F37D1" w14:textId="2DC74A86" w:rsidR="00037FF9" w:rsidRPr="00E72CF3" w:rsidRDefault="00037FF9" w:rsidP="006A5B07">
            <w:pPr>
              <w:jc w:val="left"/>
              <w:rPr>
                <w:rFonts w:eastAsia="Times New Roman" w:cs="Times New Roman"/>
                <w:sz w:val="18"/>
                <w:szCs w:val="18"/>
              </w:rPr>
            </w:pPr>
          </w:p>
        </w:tc>
        <w:tc>
          <w:tcPr>
            <w:tcW w:w="641" w:type="pct"/>
            <w:vMerge/>
            <w:noWrap/>
            <w:vAlign w:val="center"/>
            <w:hideMark/>
          </w:tcPr>
          <w:p w14:paraId="261CFF34" w14:textId="1B1B8325" w:rsidR="00037FF9" w:rsidRPr="00E72CF3" w:rsidRDefault="00037FF9" w:rsidP="006A5B07">
            <w:pPr>
              <w:jc w:val="left"/>
              <w:rPr>
                <w:rFonts w:eastAsia="Times New Roman" w:cs="Times New Roman"/>
                <w:sz w:val="18"/>
                <w:szCs w:val="18"/>
              </w:rPr>
            </w:pPr>
          </w:p>
        </w:tc>
        <w:tc>
          <w:tcPr>
            <w:tcW w:w="566" w:type="pct"/>
            <w:noWrap/>
            <w:vAlign w:val="center"/>
            <w:hideMark/>
          </w:tcPr>
          <w:p w14:paraId="41774329"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3</w:t>
            </w:r>
          </w:p>
        </w:tc>
        <w:tc>
          <w:tcPr>
            <w:tcW w:w="580" w:type="pct"/>
            <w:noWrap/>
            <w:vAlign w:val="center"/>
            <w:hideMark/>
          </w:tcPr>
          <w:p w14:paraId="17584A7F"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3.4</w:t>
            </w:r>
          </w:p>
        </w:tc>
        <w:tc>
          <w:tcPr>
            <w:tcW w:w="411" w:type="pct"/>
            <w:noWrap/>
            <w:vAlign w:val="center"/>
            <w:hideMark/>
          </w:tcPr>
          <w:p w14:paraId="312EB25E"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2.6</w:t>
            </w:r>
          </w:p>
        </w:tc>
        <w:tc>
          <w:tcPr>
            <w:tcW w:w="411" w:type="pct"/>
            <w:vMerge/>
            <w:noWrap/>
            <w:vAlign w:val="center"/>
            <w:hideMark/>
          </w:tcPr>
          <w:p w14:paraId="677D9DE2" w14:textId="20A13D45" w:rsidR="00037FF9" w:rsidRPr="00E72CF3" w:rsidRDefault="00037FF9" w:rsidP="000F1A32">
            <w:pPr>
              <w:jc w:val="center"/>
              <w:rPr>
                <w:rFonts w:eastAsia="Times New Roman" w:cs="Times New Roman"/>
                <w:sz w:val="18"/>
                <w:szCs w:val="18"/>
              </w:rPr>
            </w:pPr>
          </w:p>
        </w:tc>
        <w:tc>
          <w:tcPr>
            <w:tcW w:w="411" w:type="pct"/>
            <w:vMerge/>
            <w:noWrap/>
            <w:vAlign w:val="center"/>
            <w:hideMark/>
          </w:tcPr>
          <w:p w14:paraId="591EC9DB" w14:textId="0BB60460" w:rsidR="00037FF9" w:rsidRPr="00E72CF3" w:rsidRDefault="00037FF9" w:rsidP="000F1A32">
            <w:pPr>
              <w:jc w:val="center"/>
              <w:rPr>
                <w:rFonts w:eastAsia="Times New Roman" w:cs="Times New Roman"/>
                <w:sz w:val="18"/>
                <w:szCs w:val="18"/>
              </w:rPr>
            </w:pPr>
          </w:p>
        </w:tc>
        <w:tc>
          <w:tcPr>
            <w:tcW w:w="409" w:type="pct"/>
            <w:vMerge/>
            <w:noWrap/>
            <w:vAlign w:val="center"/>
          </w:tcPr>
          <w:p w14:paraId="0D32BFD6" w14:textId="29F1BE35" w:rsidR="00037FF9" w:rsidRPr="00E72CF3" w:rsidRDefault="00037FF9" w:rsidP="000F1A32">
            <w:pPr>
              <w:jc w:val="center"/>
              <w:rPr>
                <w:rFonts w:eastAsia="Times New Roman" w:cs="Times New Roman"/>
                <w:sz w:val="18"/>
                <w:szCs w:val="18"/>
              </w:rPr>
            </w:pPr>
          </w:p>
        </w:tc>
        <w:tc>
          <w:tcPr>
            <w:tcW w:w="411" w:type="pct"/>
            <w:noWrap/>
            <w:vAlign w:val="center"/>
            <w:hideMark/>
          </w:tcPr>
          <w:p w14:paraId="6EF63015"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2</w:t>
            </w:r>
          </w:p>
        </w:tc>
        <w:tc>
          <w:tcPr>
            <w:tcW w:w="411" w:type="pct"/>
            <w:noWrap/>
            <w:vAlign w:val="center"/>
            <w:hideMark/>
          </w:tcPr>
          <w:p w14:paraId="759F906F" w14:textId="77777777" w:rsidR="00037FF9" w:rsidRPr="00E72CF3" w:rsidRDefault="00037FF9" w:rsidP="000F1A32">
            <w:pPr>
              <w:jc w:val="center"/>
              <w:rPr>
                <w:rFonts w:eastAsia="Times New Roman" w:cs="Times New Roman"/>
                <w:sz w:val="18"/>
                <w:szCs w:val="18"/>
              </w:rPr>
            </w:pPr>
            <w:r w:rsidRPr="00E72CF3">
              <w:rPr>
                <w:rFonts w:eastAsia="Times New Roman" w:cs="Times New Roman"/>
                <w:sz w:val="18"/>
                <w:szCs w:val="18"/>
              </w:rPr>
              <w:t>2.6</w:t>
            </w:r>
          </w:p>
        </w:tc>
        <w:tc>
          <w:tcPr>
            <w:tcW w:w="370" w:type="pct"/>
            <w:vMerge/>
            <w:noWrap/>
            <w:vAlign w:val="center"/>
            <w:hideMark/>
          </w:tcPr>
          <w:p w14:paraId="0574E771" w14:textId="796F493F" w:rsidR="00037FF9" w:rsidRPr="00E72CF3" w:rsidRDefault="00037FF9" w:rsidP="000F1A32">
            <w:pPr>
              <w:jc w:val="center"/>
              <w:rPr>
                <w:rFonts w:eastAsia="Times New Roman" w:cs="Times New Roman"/>
                <w:sz w:val="18"/>
                <w:szCs w:val="18"/>
              </w:rPr>
            </w:pPr>
          </w:p>
        </w:tc>
      </w:tr>
      <w:tr w:rsidR="00037FF9" w:rsidRPr="00E72CF3" w14:paraId="23783316" w14:textId="77777777" w:rsidTr="006A5B07">
        <w:trPr>
          <w:trHeight w:val="20"/>
        </w:trPr>
        <w:tc>
          <w:tcPr>
            <w:tcW w:w="379" w:type="pct"/>
            <w:vMerge/>
            <w:noWrap/>
            <w:vAlign w:val="center"/>
          </w:tcPr>
          <w:p w14:paraId="4D3A3056" w14:textId="77777777" w:rsidR="00037FF9" w:rsidRPr="00E72CF3" w:rsidRDefault="00037FF9" w:rsidP="006A5B07">
            <w:pPr>
              <w:jc w:val="left"/>
              <w:rPr>
                <w:rFonts w:eastAsia="Times New Roman" w:cs="Times New Roman"/>
                <w:sz w:val="18"/>
                <w:szCs w:val="18"/>
              </w:rPr>
            </w:pPr>
          </w:p>
        </w:tc>
        <w:tc>
          <w:tcPr>
            <w:tcW w:w="641" w:type="pct"/>
            <w:noWrap/>
            <w:vAlign w:val="center"/>
          </w:tcPr>
          <w:p w14:paraId="4C5D4103" w14:textId="2B43FDC6" w:rsidR="00037FF9" w:rsidRPr="00E72CF3" w:rsidRDefault="00037FF9" w:rsidP="006A5B07">
            <w:pPr>
              <w:jc w:val="left"/>
              <w:rPr>
                <w:rFonts w:eastAsia="Times New Roman" w:cs="Times New Roman"/>
                <w:sz w:val="18"/>
                <w:szCs w:val="18"/>
              </w:rPr>
            </w:pPr>
            <w:r>
              <w:rPr>
                <w:rFonts w:eastAsia="Times New Roman" w:cs="Times New Roman"/>
                <w:sz w:val="18"/>
                <w:szCs w:val="18"/>
              </w:rPr>
              <w:t>LNG</w:t>
            </w:r>
            <w:r w:rsidR="00D7162C" w:rsidRPr="00D7162C">
              <w:rPr>
                <w:rFonts w:eastAsia="Times New Roman" w:cs="Times New Roman"/>
                <w:sz w:val="18"/>
                <w:szCs w:val="18"/>
                <w:vertAlign w:val="superscript"/>
              </w:rPr>
              <w:t>c</w:t>
            </w:r>
          </w:p>
        </w:tc>
        <w:tc>
          <w:tcPr>
            <w:tcW w:w="566" w:type="pct"/>
            <w:noWrap/>
            <w:vAlign w:val="center"/>
          </w:tcPr>
          <w:p w14:paraId="3093EDE7" w14:textId="0E6B7BDA" w:rsidR="00037FF9" w:rsidRPr="00E72CF3" w:rsidRDefault="00037FF9"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tcPr>
          <w:p w14:paraId="361A7A48" w14:textId="4C7B2306" w:rsidR="00037FF9" w:rsidRPr="00E72CF3" w:rsidRDefault="00037FF9"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30D1DAF3" w14:textId="157B7554" w:rsidR="00037FF9" w:rsidRPr="00E72CF3" w:rsidRDefault="00037FF9"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7DC957FE" w14:textId="3C50DC9A" w:rsidR="00037FF9" w:rsidRPr="00E72CF3" w:rsidRDefault="00037FF9"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3041A290" w14:textId="052BC58F" w:rsidR="00037FF9" w:rsidRPr="00E72CF3" w:rsidRDefault="00037FF9" w:rsidP="000F1A32">
            <w:pPr>
              <w:jc w:val="center"/>
              <w:rPr>
                <w:rFonts w:eastAsia="Times New Roman" w:cs="Times New Roman"/>
                <w:sz w:val="18"/>
                <w:szCs w:val="18"/>
              </w:rPr>
            </w:pPr>
            <w:r>
              <w:rPr>
                <w:rFonts w:eastAsia="Times New Roman" w:cs="Times New Roman"/>
                <w:sz w:val="18"/>
                <w:szCs w:val="18"/>
              </w:rPr>
              <w:t>-</w:t>
            </w:r>
          </w:p>
        </w:tc>
        <w:tc>
          <w:tcPr>
            <w:tcW w:w="409" w:type="pct"/>
            <w:noWrap/>
            <w:vAlign w:val="center"/>
          </w:tcPr>
          <w:p w14:paraId="61062861" w14:textId="4ABA2779" w:rsidR="00037FF9" w:rsidRPr="00E72CF3" w:rsidRDefault="009D2C7C" w:rsidP="000F1A32">
            <w:pPr>
              <w:jc w:val="center"/>
              <w:rPr>
                <w:rFonts w:eastAsia="Times New Roman" w:cs="Times New Roman"/>
                <w:sz w:val="18"/>
                <w:szCs w:val="18"/>
              </w:rPr>
            </w:pPr>
            <w:r>
              <w:rPr>
                <w:rFonts w:eastAsia="Times New Roman" w:cs="Times New Roman"/>
                <w:sz w:val="18"/>
                <w:szCs w:val="18"/>
              </w:rPr>
              <w:t>1.82</w:t>
            </w:r>
          </w:p>
        </w:tc>
        <w:tc>
          <w:tcPr>
            <w:tcW w:w="411" w:type="pct"/>
            <w:noWrap/>
            <w:vAlign w:val="center"/>
          </w:tcPr>
          <w:p w14:paraId="444808AD" w14:textId="102A088C" w:rsidR="00037FF9" w:rsidRPr="00E72CF3" w:rsidRDefault="00037FF9"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1A819CDB" w14:textId="70B33120" w:rsidR="00037FF9" w:rsidRPr="00E72CF3" w:rsidRDefault="00037FF9" w:rsidP="000F1A32">
            <w:pPr>
              <w:jc w:val="center"/>
              <w:rPr>
                <w:rFonts w:eastAsia="Times New Roman" w:cs="Times New Roman"/>
                <w:sz w:val="18"/>
                <w:szCs w:val="18"/>
              </w:rPr>
            </w:pPr>
            <w:r>
              <w:rPr>
                <w:rFonts w:eastAsia="Times New Roman" w:cs="Times New Roman"/>
                <w:sz w:val="18"/>
                <w:szCs w:val="18"/>
              </w:rPr>
              <w:t>-</w:t>
            </w:r>
          </w:p>
        </w:tc>
        <w:tc>
          <w:tcPr>
            <w:tcW w:w="370" w:type="pct"/>
            <w:noWrap/>
            <w:vAlign w:val="center"/>
          </w:tcPr>
          <w:p w14:paraId="796B4663" w14:textId="45BBD3A0" w:rsidR="00037FF9" w:rsidRPr="00E72CF3" w:rsidRDefault="00037FF9" w:rsidP="000F1A32">
            <w:pPr>
              <w:jc w:val="center"/>
              <w:rPr>
                <w:rFonts w:eastAsia="Times New Roman" w:cs="Times New Roman"/>
                <w:sz w:val="18"/>
                <w:szCs w:val="18"/>
              </w:rPr>
            </w:pPr>
            <w:r>
              <w:rPr>
                <w:rFonts w:eastAsia="Times New Roman" w:cs="Times New Roman"/>
                <w:sz w:val="18"/>
                <w:szCs w:val="18"/>
              </w:rPr>
              <w:t>1.</w:t>
            </w:r>
            <w:r w:rsidR="009D2C7C">
              <w:rPr>
                <w:rFonts w:eastAsia="Times New Roman" w:cs="Times New Roman"/>
                <w:sz w:val="18"/>
                <w:szCs w:val="18"/>
              </w:rPr>
              <w:t>82</w:t>
            </w:r>
          </w:p>
        </w:tc>
      </w:tr>
      <w:tr w:rsidR="00423C5D" w:rsidRPr="00E72CF3" w14:paraId="61E92FCC" w14:textId="77777777" w:rsidTr="006A5B07">
        <w:trPr>
          <w:trHeight w:val="20"/>
        </w:trPr>
        <w:tc>
          <w:tcPr>
            <w:tcW w:w="379" w:type="pct"/>
            <w:vMerge w:val="restart"/>
            <w:noWrap/>
            <w:vAlign w:val="center"/>
            <w:hideMark/>
          </w:tcPr>
          <w:p w14:paraId="4ABB4BEC" w14:textId="3D7A6620" w:rsidR="00423C5D" w:rsidRPr="00E72CF3" w:rsidRDefault="00423C5D" w:rsidP="006A5B07">
            <w:pPr>
              <w:jc w:val="left"/>
              <w:rPr>
                <w:rFonts w:eastAsia="Times New Roman" w:cs="Times New Roman"/>
                <w:sz w:val="18"/>
                <w:szCs w:val="18"/>
              </w:rPr>
            </w:pPr>
            <w:r w:rsidRPr="00E72CF3">
              <w:rPr>
                <w:rFonts w:eastAsia="Times New Roman" w:cs="Times New Roman"/>
                <w:sz w:val="18"/>
                <w:szCs w:val="18"/>
              </w:rPr>
              <w:t>PM10</w:t>
            </w:r>
            <w:r w:rsidRPr="00423C5D">
              <w:rPr>
                <w:rFonts w:eastAsia="Times New Roman" w:cs="Times New Roman"/>
                <w:sz w:val="18"/>
                <w:szCs w:val="18"/>
                <w:vertAlign w:val="superscript"/>
              </w:rPr>
              <w:t>*</w:t>
            </w:r>
          </w:p>
        </w:tc>
        <w:tc>
          <w:tcPr>
            <w:tcW w:w="641" w:type="pct"/>
            <w:noWrap/>
            <w:vAlign w:val="center"/>
            <w:hideMark/>
          </w:tcPr>
          <w:p w14:paraId="0E5C7C45" w14:textId="10C16F83" w:rsidR="00423C5D" w:rsidRPr="00E72CF3" w:rsidRDefault="00423C5D" w:rsidP="006A5B07">
            <w:pPr>
              <w:jc w:val="left"/>
              <w:rPr>
                <w:rFonts w:eastAsia="Times New Roman" w:cs="Times New Roman"/>
                <w:sz w:val="18"/>
                <w:szCs w:val="18"/>
              </w:rPr>
            </w:pPr>
            <w:r w:rsidRPr="00E72CF3">
              <w:rPr>
                <w:rFonts w:eastAsia="Times New Roman" w:cs="Times New Roman"/>
                <w:sz w:val="18"/>
                <w:szCs w:val="18"/>
              </w:rPr>
              <w:t>HFO</w:t>
            </w:r>
            <w:r w:rsidRPr="00D7162C">
              <w:rPr>
                <w:rFonts w:eastAsia="Times New Roman" w:cs="Times New Roman"/>
                <w:sz w:val="18"/>
                <w:szCs w:val="18"/>
                <w:vertAlign w:val="superscript"/>
              </w:rPr>
              <w:t>a</w:t>
            </w:r>
          </w:p>
        </w:tc>
        <w:tc>
          <w:tcPr>
            <w:tcW w:w="566" w:type="pct"/>
            <w:noWrap/>
            <w:vAlign w:val="center"/>
            <w:hideMark/>
          </w:tcPr>
          <w:p w14:paraId="0D182D40" w14:textId="43AF5527" w:rsidR="00423C5D" w:rsidRPr="00E72CF3" w:rsidRDefault="00423C5D"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hideMark/>
          </w:tcPr>
          <w:p w14:paraId="738C9CFB" w14:textId="3547EB59" w:rsidR="00423C5D" w:rsidRPr="00E72CF3" w:rsidRDefault="00423C5D" w:rsidP="000F1A32">
            <w:pPr>
              <w:jc w:val="center"/>
              <w:rPr>
                <w:rFonts w:eastAsia="Times New Roman" w:cs="Times New Roman"/>
                <w:sz w:val="18"/>
                <w:szCs w:val="18"/>
              </w:rPr>
            </w:pPr>
            <w:r>
              <w:rPr>
                <w:rFonts w:eastAsia="Times New Roman" w:cs="Times New Roman"/>
                <w:sz w:val="18"/>
                <w:szCs w:val="18"/>
              </w:rPr>
              <w:t>0.576</w:t>
            </w:r>
          </w:p>
        </w:tc>
        <w:tc>
          <w:tcPr>
            <w:tcW w:w="411" w:type="pct"/>
            <w:noWrap/>
            <w:vAlign w:val="center"/>
            <w:hideMark/>
          </w:tcPr>
          <w:p w14:paraId="746F33E1" w14:textId="06700BAA" w:rsidR="00423C5D" w:rsidRPr="00E72CF3" w:rsidRDefault="00423C5D" w:rsidP="000F1A32">
            <w:pPr>
              <w:jc w:val="center"/>
              <w:rPr>
                <w:rFonts w:eastAsia="Times New Roman" w:cs="Times New Roman"/>
                <w:sz w:val="18"/>
                <w:szCs w:val="18"/>
              </w:rPr>
            </w:pPr>
            <w:r>
              <w:rPr>
                <w:rFonts w:eastAsia="Times New Roman" w:cs="Times New Roman"/>
                <w:sz w:val="18"/>
                <w:szCs w:val="18"/>
              </w:rPr>
              <w:t>0.576</w:t>
            </w:r>
          </w:p>
        </w:tc>
        <w:tc>
          <w:tcPr>
            <w:tcW w:w="411" w:type="pct"/>
            <w:noWrap/>
            <w:vAlign w:val="center"/>
            <w:hideMark/>
          </w:tcPr>
          <w:p w14:paraId="692631C0" w14:textId="77777777" w:rsidR="00423C5D" w:rsidRPr="00E72CF3" w:rsidRDefault="00423C5D" w:rsidP="000F1A32">
            <w:pPr>
              <w:jc w:val="center"/>
              <w:rPr>
                <w:rFonts w:eastAsia="Times New Roman" w:cs="Times New Roman"/>
                <w:sz w:val="18"/>
                <w:szCs w:val="18"/>
              </w:rPr>
            </w:pPr>
            <w:r w:rsidRPr="00E72CF3">
              <w:rPr>
                <w:rFonts w:eastAsia="Times New Roman" w:cs="Times New Roman"/>
                <w:sz w:val="18"/>
                <w:szCs w:val="18"/>
              </w:rPr>
              <w:t>0.93</w:t>
            </w:r>
          </w:p>
        </w:tc>
        <w:tc>
          <w:tcPr>
            <w:tcW w:w="411" w:type="pct"/>
            <w:noWrap/>
            <w:vAlign w:val="center"/>
            <w:hideMark/>
          </w:tcPr>
          <w:p w14:paraId="794F8C0E" w14:textId="77777777" w:rsidR="00423C5D" w:rsidRPr="00E72CF3" w:rsidRDefault="00423C5D" w:rsidP="000F1A32">
            <w:pPr>
              <w:jc w:val="center"/>
              <w:rPr>
                <w:rFonts w:eastAsia="Times New Roman" w:cs="Times New Roman"/>
                <w:sz w:val="18"/>
                <w:szCs w:val="18"/>
              </w:rPr>
            </w:pPr>
            <w:r w:rsidRPr="00E72CF3">
              <w:rPr>
                <w:rFonts w:eastAsia="Times New Roman" w:cs="Times New Roman"/>
                <w:sz w:val="18"/>
                <w:szCs w:val="18"/>
              </w:rPr>
              <w:t>0.06</w:t>
            </w:r>
          </w:p>
        </w:tc>
        <w:tc>
          <w:tcPr>
            <w:tcW w:w="409" w:type="pct"/>
            <w:noWrap/>
            <w:vAlign w:val="center"/>
            <w:hideMark/>
          </w:tcPr>
          <w:p w14:paraId="7BBCF835" w14:textId="37BAFBE0" w:rsidR="00423C5D" w:rsidRPr="00E72CF3"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hideMark/>
          </w:tcPr>
          <w:p w14:paraId="1B8B04AA" w14:textId="6051249E" w:rsidR="00423C5D" w:rsidRPr="00E72CF3" w:rsidRDefault="00423C5D" w:rsidP="000F1A32">
            <w:pPr>
              <w:jc w:val="center"/>
              <w:rPr>
                <w:rFonts w:eastAsia="Times New Roman" w:cs="Times New Roman"/>
                <w:sz w:val="18"/>
                <w:szCs w:val="18"/>
              </w:rPr>
            </w:pPr>
            <w:r>
              <w:rPr>
                <w:rFonts w:eastAsia="Times New Roman" w:cs="Times New Roman"/>
                <w:sz w:val="18"/>
                <w:szCs w:val="18"/>
              </w:rPr>
              <w:t>0.576</w:t>
            </w:r>
          </w:p>
        </w:tc>
        <w:tc>
          <w:tcPr>
            <w:tcW w:w="411" w:type="pct"/>
            <w:noWrap/>
            <w:vAlign w:val="center"/>
            <w:hideMark/>
          </w:tcPr>
          <w:p w14:paraId="3F3EA787" w14:textId="48F5CA94" w:rsidR="00423C5D" w:rsidRPr="00E72CF3" w:rsidRDefault="00423C5D" w:rsidP="000F1A32">
            <w:pPr>
              <w:jc w:val="center"/>
              <w:rPr>
                <w:rFonts w:eastAsia="Times New Roman" w:cs="Times New Roman"/>
                <w:sz w:val="18"/>
                <w:szCs w:val="18"/>
              </w:rPr>
            </w:pPr>
            <w:r>
              <w:rPr>
                <w:rFonts w:eastAsia="Times New Roman" w:cs="Times New Roman"/>
                <w:sz w:val="18"/>
                <w:szCs w:val="18"/>
              </w:rPr>
              <w:t>0.576</w:t>
            </w:r>
          </w:p>
        </w:tc>
        <w:tc>
          <w:tcPr>
            <w:tcW w:w="370" w:type="pct"/>
            <w:noWrap/>
            <w:vAlign w:val="center"/>
            <w:hideMark/>
          </w:tcPr>
          <w:p w14:paraId="61ADC19B" w14:textId="21A9596D" w:rsidR="00423C5D" w:rsidRPr="00E72CF3" w:rsidRDefault="00423C5D" w:rsidP="000F1A32">
            <w:pPr>
              <w:jc w:val="center"/>
              <w:rPr>
                <w:rFonts w:eastAsia="Times New Roman" w:cs="Times New Roman"/>
                <w:sz w:val="18"/>
                <w:szCs w:val="18"/>
              </w:rPr>
            </w:pPr>
            <w:r>
              <w:rPr>
                <w:rFonts w:eastAsia="Times New Roman" w:cs="Times New Roman"/>
                <w:sz w:val="18"/>
                <w:szCs w:val="18"/>
              </w:rPr>
              <w:t>-</w:t>
            </w:r>
          </w:p>
        </w:tc>
      </w:tr>
      <w:tr w:rsidR="00423C5D" w:rsidRPr="00E72CF3" w14:paraId="42121F79" w14:textId="77777777" w:rsidTr="006A5B07">
        <w:trPr>
          <w:trHeight w:val="20"/>
        </w:trPr>
        <w:tc>
          <w:tcPr>
            <w:tcW w:w="379" w:type="pct"/>
            <w:vMerge/>
            <w:noWrap/>
            <w:vAlign w:val="center"/>
            <w:hideMark/>
          </w:tcPr>
          <w:p w14:paraId="49DB92CE" w14:textId="27455B62" w:rsidR="00423C5D" w:rsidRPr="00E72CF3" w:rsidRDefault="00423C5D" w:rsidP="006A5B07">
            <w:pPr>
              <w:jc w:val="left"/>
              <w:rPr>
                <w:rFonts w:eastAsia="Times New Roman" w:cs="Times New Roman"/>
                <w:sz w:val="18"/>
                <w:szCs w:val="18"/>
              </w:rPr>
            </w:pPr>
          </w:p>
        </w:tc>
        <w:tc>
          <w:tcPr>
            <w:tcW w:w="641" w:type="pct"/>
            <w:noWrap/>
            <w:vAlign w:val="center"/>
            <w:hideMark/>
          </w:tcPr>
          <w:p w14:paraId="079BBFAE" w14:textId="26A0E1AB" w:rsidR="00423C5D" w:rsidRPr="00E72CF3" w:rsidRDefault="00423C5D" w:rsidP="006A5B07">
            <w:pPr>
              <w:jc w:val="left"/>
              <w:rPr>
                <w:rFonts w:eastAsia="Times New Roman" w:cs="Times New Roman"/>
                <w:sz w:val="18"/>
                <w:szCs w:val="18"/>
              </w:rPr>
            </w:pPr>
            <w:r w:rsidRPr="00E72CF3">
              <w:rPr>
                <w:rFonts w:eastAsia="Times New Roman" w:cs="Times New Roman"/>
                <w:sz w:val="18"/>
                <w:szCs w:val="18"/>
              </w:rPr>
              <w:t>MGO/MDO</w:t>
            </w:r>
            <w:r w:rsidRPr="00D7162C">
              <w:rPr>
                <w:rFonts w:eastAsia="Times New Roman" w:cs="Times New Roman"/>
                <w:sz w:val="18"/>
                <w:szCs w:val="18"/>
                <w:vertAlign w:val="superscript"/>
              </w:rPr>
              <w:t>a</w:t>
            </w:r>
          </w:p>
        </w:tc>
        <w:tc>
          <w:tcPr>
            <w:tcW w:w="566" w:type="pct"/>
            <w:noWrap/>
            <w:vAlign w:val="center"/>
            <w:hideMark/>
          </w:tcPr>
          <w:p w14:paraId="7D153DB0" w14:textId="78D877D8" w:rsidR="00423C5D" w:rsidRPr="00E72CF3" w:rsidRDefault="00423C5D"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hideMark/>
          </w:tcPr>
          <w:p w14:paraId="32EC9415" w14:textId="5445C12D" w:rsidR="00423C5D" w:rsidRPr="00E72CF3" w:rsidRDefault="00423C5D" w:rsidP="000F1A32">
            <w:pPr>
              <w:jc w:val="center"/>
              <w:rPr>
                <w:rFonts w:eastAsia="Times New Roman" w:cs="Times New Roman"/>
                <w:sz w:val="18"/>
                <w:szCs w:val="18"/>
              </w:rPr>
            </w:pPr>
            <w:r>
              <w:rPr>
                <w:rFonts w:eastAsia="Times New Roman" w:cs="Times New Roman"/>
                <w:sz w:val="18"/>
                <w:szCs w:val="18"/>
              </w:rPr>
              <w:t>0.155</w:t>
            </w:r>
          </w:p>
        </w:tc>
        <w:tc>
          <w:tcPr>
            <w:tcW w:w="411" w:type="pct"/>
            <w:noWrap/>
            <w:vAlign w:val="center"/>
            <w:hideMark/>
          </w:tcPr>
          <w:p w14:paraId="38F9A8F2" w14:textId="2023CFAA" w:rsidR="00423C5D" w:rsidRPr="00E72CF3" w:rsidRDefault="00423C5D" w:rsidP="000F1A32">
            <w:pPr>
              <w:jc w:val="center"/>
              <w:rPr>
                <w:rFonts w:eastAsia="Times New Roman" w:cs="Times New Roman"/>
                <w:sz w:val="18"/>
                <w:szCs w:val="18"/>
              </w:rPr>
            </w:pPr>
            <w:r>
              <w:rPr>
                <w:rFonts w:eastAsia="Times New Roman" w:cs="Times New Roman"/>
                <w:sz w:val="18"/>
                <w:szCs w:val="18"/>
              </w:rPr>
              <w:t>0.155</w:t>
            </w:r>
          </w:p>
        </w:tc>
        <w:tc>
          <w:tcPr>
            <w:tcW w:w="411" w:type="pct"/>
            <w:noWrap/>
            <w:vAlign w:val="center"/>
            <w:hideMark/>
          </w:tcPr>
          <w:p w14:paraId="5CD3120C" w14:textId="77777777" w:rsidR="00423C5D" w:rsidRPr="00E72CF3" w:rsidRDefault="00423C5D" w:rsidP="000F1A32">
            <w:pPr>
              <w:jc w:val="center"/>
              <w:rPr>
                <w:rFonts w:eastAsia="Times New Roman" w:cs="Times New Roman"/>
                <w:sz w:val="18"/>
                <w:szCs w:val="18"/>
              </w:rPr>
            </w:pPr>
            <w:r w:rsidRPr="00E72CF3">
              <w:rPr>
                <w:rFonts w:eastAsia="Times New Roman" w:cs="Times New Roman"/>
                <w:sz w:val="18"/>
                <w:szCs w:val="18"/>
              </w:rPr>
              <w:t>0.16</w:t>
            </w:r>
          </w:p>
        </w:tc>
        <w:tc>
          <w:tcPr>
            <w:tcW w:w="411" w:type="pct"/>
            <w:noWrap/>
            <w:vAlign w:val="center"/>
            <w:hideMark/>
          </w:tcPr>
          <w:p w14:paraId="286830CD" w14:textId="77777777" w:rsidR="00423C5D" w:rsidRPr="00E72CF3" w:rsidRDefault="00423C5D" w:rsidP="000F1A32">
            <w:pPr>
              <w:jc w:val="center"/>
              <w:rPr>
                <w:rFonts w:eastAsia="Times New Roman" w:cs="Times New Roman"/>
                <w:sz w:val="18"/>
                <w:szCs w:val="18"/>
              </w:rPr>
            </w:pPr>
            <w:r w:rsidRPr="00E72CF3">
              <w:rPr>
                <w:rFonts w:eastAsia="Times New Roman" w:cs="Times New Roman"/>
                <w:sz w:val="18"/>
                <w:szCs w:val="18"/>
              </w:rPr>
              <w:t>0.01</w:t>
            </w:r>
          </w:p>
        </w:tc>
        <w:tc>
          <w:tcPr>
            <w:tcW w:w="409" w:type="pct"/>
            <w:noWrap/>
            <w:vAlign w:val="center"/>
            <w:hideMark/>
          </w:tcPr>
          <w:p w14:paraId="4024E52A" w14:textId="6EF5388A" w:rsidR="00423C5D" w:rsidRPr="00E72CF3"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hideMark/>
          </w:tcPr>
          <w:p w14:paraId="62785B0A" w14:textId="00BE82AA" w:rsidR="00423C5D" w:rsidRPr="00E72CF3" w:rsidRDefault="00423C5D" w:rsidP="000F1A32">
            <w:pPr>
              <w:jc w:val="center"/>
              <w:rPr>
                <w:rFonts w:eastAsia="Times New Roman" w:cs="Times New Roman"/>
                <w:sz w:val="18"/>
                <w:szCs w:val="18"/>
              </w:rPr>
            </w:pPr>
            <w:r>
              <w:rPr>
                <w:rFonts w:eastAsia="Times New Roman" w:cs="Times New Roman"/>
                <w:sz w:val="18"/>
                <w:szCs w:val="18"/>
              </w:rPr>
              <w:t>0.155</w:t>
            </w:r>
          </w:p>
        </w:tc>
        <w:tc>
          <w:tcPr>
            <w:tcW w:w="411" w:type="pct"/>
            <w:noWrap/>
            <w:vAlign w:val="center"/>
            <w:hideMark/>
          </w:tcPr>
          <w:p w14:paraId="3E498638" w14:textId="5A10F2E9" w:rsidR="00423C5D" w:rsidRPr="00E72CF3" w:rsidRDefault="00423C5D" w:rsidP="000F1A32">
            <w:pPr>
              <w:jc w:val="center"/>
              <w:rPr>
                <w:rFonts w:eastAsia="Times New Roman" w:cs="Times New Roman"/>
                <w:sz w:val="18"/>
                <w:szCs w:val="18"/>
              </w:rPr>
            </w:pPr>
            <w:r>
              <w:rPr>
                <w:rFonts w:eastAsia="Times New Roman" w:cs="Times New Roman"/>
                <w:sz w:val="18"/>
                <w:szCs w:val="18"/>
              </w:rPr>
              <w:t>0.155</w:t>
            </w:r>
          </w:p>
        </w:tc>
        <w:tc>
          <w:tcPr>
            <w:tcW w:w="370" w:type="pct"/>
            <w:noWrap/>
            <w:vAlign w:val="center"/>
            <w:hideMark/>
          </w:tcPr>
          <w:p w14:paraId="25AEE84A" w14:textId="36AD88D1" w:rsidR="00423C5D" w:rsidRPr="00E72CF3" w:rsidRDefault="00423C5D" w:rsidP="000F1A32">
            <w:pPr>
              <w:jc w:val="center"/>
              <w:rPr>
                <w:rFonts w:eastAsia="Times New Roman" w:cs="Times New Roman"/>
                <w:sz w:val="18"/>
                <w:szCs w:val="18"/>
              </w:rPr>
            </w:pPr>
            <w:r>
              <w:rPr>
                <w:rFonts w:eastAsia="Times New Roman" w:cs="Times New Roman"/>
                <w:sz w:val="18"/>
                <w:szCs w:val="18"/>
              </w:rPr>
              <w:t>-</w:t>
            </w:r>
          </w:p>
        </w:tc>
      </w:tr>
      <w:tr w:rsidR="00423C5D" w:rsidRPr="00E72CF3" w14:paraId="503A1A05" w14:textId="77777777" w:rsidTr="006A5B07">
        <w:trPr>
          <w:trHeight w:val="20"/>
        </w:trPr>
        <w:tc>
          <w:tcPr>
            <w:tcW w:w="379" w:type="pct"/>
            <w:vMerge/>
            <w:noWrap/>
            <w:vAlign w:val="center"/>
          </w:tcPr>
          <w:p w14:paraId="51A912BE" w14:textId="77777777" w:rsidR="00423C5D" w:rsidRPr="00E72CF3" w:rsidRDefault="00423C5D" w:rsidP="006A5B07">
            <w:pPr>
              <w:jc w:val="left"/>
              <w:rPr>
                <w:rFonts w:eastAsia="Times New Roman" w:cs="Times New Roman"/>
                <w:sz w:val="18"/>
                <w:szCs w:val="18"/>
              </w:rPr>
            </w:pPr>
          </w:p>
        </w:tc>
        <w:tc>
          <w:tcPr>
            <w:tcW w:w="641" w:type="pct"/>
            <w:noWrap/>
            <w:vAlign w:val="center"/>
          </w:tcPr>
          <w:p w14:paraId="5E40E45B" w14:textId="4BFB6847" w:rsidR="00423C5D" w:rsidRPr="00E72CF3" w:rsidRDefault="00423C5D" w:rsidP="006A5B07">
            <w:pPr>
              <w:jc w:val="left"/>
              <w:rPr>
                <w:rFonts w:eastAsia="Times New Roman" w:cs="Times New Roman"/>
                <w:sz w:val="18"/>
                <w:szCs w:val="18"/>
              </w:rPr>
            </w:pPr>
            <w:r>
              <w:rPr>
                <w:rFonts w:eastAsia="Times New Roman" w:cs="Times New Roman"/>
                <w:sz w:val="18"/>
                <w:szCs w:val="18"/>
              </w:rPr>
              <w:t>LNG</w:t>
            </w:r>
            <w:r>
              <w:rPr>
                <w:rFonts w:eastAsia="Times New Roman" w:cs="Times New Roman"/>
                <w:sz w:val="18"/>
                <w:szCs w:val="18"/>
                <w:vertAlign w:val="superscript"/>
              </w:rPr>
              <w:t>c</w:t>
            </w:r>
          </w:p>
        </w:tc>
        <w:tc>
          <w:tcPr>
            <w:tcW w:w="566" w:type="pct"/>
            <w:noWrap/>
            <w:vAlign w:val="center"/>
          </w:tcPr>
          <w:p w14:paraId="7A854F05" w14:textId="7A4D4BF9"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tcPr>
          <w:p w14:paraId="67357C75" w14:textId="02688BFE"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09F48846" w14:textId="4C071560"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051C8AE6" w14:textId="46CBE5F5" w:rsidR="00423C5D" w:rsidRPr="00E72CF3"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33094623" w14:textId="1741B8EE" w:rsidR="00423C5D" w:rsidRPr="00E72CF3" w:rsidRDefault="00423C5D" w:rsidP="000F1A32">
            <w:pPr>
              <w:jc w:val="center"/>
              <w:rPr>
                <w:rFonts w:eastAsia="Times New Roman" w:cs="Times New Roman"/>
                <w:sz w:val="18"/>
                <w:szCs w:val="18"/>
              </w:rPr>
            </w:pPr>
            <w:r>
              <w:rPr>
                <w:rFonts w:eastAsia="Times New Roman" w:cs="Times New Roman"/>
                <w:sz w:val="18"/>
                <w:szCs w:val="18"/>
              </w:rPr>
              <w:t>-</w:t>
            </w:r>
          </w:p>
        </w:tc>
        <w:tc>
          <w:tcPr>
            <w:tcW w:w="409" w:type="pct"/>
            <w:noWrap/>
            <w:vAlign w:val="center"/>
          </w:tcPr>
          <w:p w14:paraId="05D4897B" w14:textId="30482EF0" w:rsidR="00423C5D" w:rsidRPr="00E72CF3" w:rsidRDefault="00423C5D" w:rsidP="000F1A32">
            <w:pPr>
              <w:jc w:val="center"/>
              <w:rPr>
                <w:rFonts w:eastAsia="Times New Roman" w:cs="Times New Roman"/>
                <w:sz w:val="18"/>
                <w:szCs w:val="18"/>
              </w:rPr>
            </w:pPr>
            <w:r w:rsidRPr="00E72CF3">
              <w:rPr>
                <w:rFonts w:eastAsia="Times New Roman" w:cs="Times New Roman"/>
                <w:sz w:val="18"/>
                <w:szCs w:val="18"/>
              </w:rPr>
              <w:t>0.0</w:t>
            </w:r>
            <w:r>
              <w:rPr>
                <w:rFonts w:eastAsia="Times New Roman" w:cs="Times New Roman"/>
                <w:sz w:val="18"/>
                <w:szCs w:val="18"/>
              </w:rPr>
              <w:t>4</w:t>
            </w:r>
          </w:p>
        </w:tc>
        <w:tc>
          <w:tcPr>
            <w:tcW w:w="411" w:type="pct"/>
            <w:noWrap/>
            <w:vAlign w:val="center"/>
          </w:tcPr>
          <w:p w14:paraId="45AAE237" w14:textId="1C893417"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47B52A1A" w14:textId="56A0155E"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370" w:type="pct"/>
            <w:noWrap/>
            <w:vAlign w:val="center"/>
          </w:tcPr>
          <w:p w14:paraId="0C1D0449" w14:textId="608D706B" w:rsidR="00423C5D" w:rsidRDefault="00423C5D" w:rsidP="000F1A32">
            <w:pPr>
              <w:jc w:val="center"/>
              <w:rPr>
                <w:rFonts w:eastAsia="Times New Roman" w:cs="Times New Roman"/>
                <w:sz w:val="18"/>
                <w:szCs w:val="18"/>
              </w:rPr>
            </w:pPr>
            <w:r>
              <w:rPr>
                <w:rFonts w:eastAsia="Times New Roman" w:cs="Times New Roman"/>
                <w:sz w:val="18"/>
                <w:szCs w:val="18"/>
              </w:rPr>
              <w:t>0.04</w:t>
            </w:r>
          </w:p>
        </w:tc>
      </w:tr>
      <w:tr w:rsidR="00423C5D" w:rsidRPr="00E72CF3" w14:paraId="365775AD" w14:textId="77777777" w:rsidTr="006A5B07">
        <w:trPr>
          <w:trHeight w:val="20"/>
        </w:trPr>
        <w:tc>
          <w:tcPr>
            <w:tcW w:w="379" w:type="pct"/>
            <w:vMerge w:val="restart"/>
            <w:noWrap/>
            <w:vAlign w:val="center"/>
          </w:tcPr>
          <w:p w14:paraId="455042B2" w14:textId="451D48DF" w:rsidR="00423C5D" w:rsidRPr="00E72CF3" w:rsidRDefault="00423C5D" w:rsidP="006A5B07">
            <w:pPr>
              <w:jc w:val="left"/>
              <w:rPr>
                <w:rFonts w:eastAsia="Times New Roman" w:cs="Times New Roman"/>
                <w:sz w:val="18"/>
                <w:szCs w:val="18"/>
              </w:rPr>
            </w:pPr>
            <w:r>
              <w:rPr>
                <w:rFonts w:eastAsia="Times New Roman" w:cs="Times New Roman"/>
                <w:sz w:val="18"/>
                <w:szCs w:val="18"/>
              </w:rPr>
              <w:t>CH</w:t>
            </w:r>
            <w:r w:rsidRPr="00CA5824">
              <w:rPr>
                <w:rFonts w:eastAsia="Times New Roman" w:cs="Times New Roman"/>
                <w:sz w:val="18"/>
                <w:szCs w:val="18"/>
                <w:vertAlign w:val="subscript"/>
              </w:rPr>
              <w:t>4</w:t>
            </w:r>
          </w:p>
        </w:tc>
        <w:tc>
          <w:tcPr>
            <w:tcW w:w="641" w:type="pct"/>
            <w:noWrap/>
            <w:vAlign w:val="center"/>
          </w:tcPr>
          <w:p w14:paraId="331B8AB2" w14:textId="19E51CB4" w:rsidR="00423C5D" w:rsidRDefault="00423C5D" w:rsidP="006A5B07">
            <w:pPr>
              <w:jc w:val="left"/>
              <w:rPr>
                <w:rFonts w:eastAsia="Times New Roman" w:cs="Times New Roman"/>
                <w:sz w:val="18"/>
                <w:szCs w:val="18"/>
              </w:rPr>
            </w:pPr>
            <w:r>
              <w:rPr>
                <w:rFonts w:eastAsia="Times New Roman" w:cs="Times New Roman"/>
                <w:sz w:val="18"/>
                <w:szCs w:val="18"/>
              </w:rPr>
              <w:t>HFO/MDO</w:t>
            </w:r>
            <w:r>
              <w:rPr>
                <w:rFonts w:eastAsia="Times New Roman" w:cs="Times New Roman"/>
                <w:sz w:val="18"/>
                <w:szCs w:val="18"/>
                <w:vertAlign w:val="superscript"/>
              </w:rPr>
              <w:t xml:space="preserve"> b</w:t>
            </w:r>
          </w:p>
        </w:tc>
        <w:tc>
          <w:tcPr>
            <w:tcW w:w="566" w:type="pct"/>
            <w:noWrap/>
            <w:vAlign w:val="center"/>
          </w:tcPr>
          <w:p w14:paraId="42A494F2" w14:textId="7C3737D0"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tcPr>
          <w:p w14:paraId="3EF2F04A" w14:textId="037199A6" w:rsidR="00423C5D" w:rsidRDefault="00423C5D" w:rsidP="000F1A32">
            <w:pPr>
              <w:jc w:val="center"/>
              <w:rPr>
                <w:rFonts w:eastAsia="Times New Roman" w:cs="Times New Roman"/>
                <w:sz w:val="18"/>
                <w:szCs w:val="18"/>
              </w:rPr>
            </w:pPr>
            <w:r>
              <w:rPr>
                <w:rFonts w:eastAsia="Times New Roman" w:cs="Times New Roman"/>
                <w:sz w:val="18"/>
                <w:szCs w:val="18"/>
              </w:rPr>
              <w:t>0.012</w:t>
            </w:r>
          </w:p>
        </w:tc>
        <w:tc>
          <w:tcPr>
            <w:tcW w:w="411" w:type="pct"/>
            <w:noWrap/>
            <w:vAlign w:val="center"/>
          </w:tcPr>
          <w:p w14:paraId="08F921B3" w14:textId="1407B78C" w:rsidR="00423C5D" w:rsidRDefault="00423C5D" w:rsidP="000F1A32">
            <w:pPr>
              <w:jc w:val="center"/>
              <w:rPr>
                <w:rFonts w:eastAsia="Times New Roman" w:cs="Times New Roman"/>
                <w:sz w:val="18"/>
                <w:szCs w:val="18"/>
              </w:rPr>
            </w:pPr>
            <w:r>
              <w:rPr>
                <w:rFonts w:eastAsia="Times New Roman" w:cs="Times New Roman"/>
                <w:sz w:val="18"/>
                <w:szCs w:val="18"/>
              </w:rPr>
              <w:t>0.01</w:t>
            </w:r>
          </w:p>
        </w:tc>
        <w:tc>
          <w:tcPr>
            <w:tcW w:w="411" w:type="pct"/>
            <w:noWrap/>
            <w:vAlign w:val="center"/>
          </w:tcPr>
          <w:p w14:paraId="588E8932" w14:textId="1A32B6D0" w:rsidR="00423C5D" w:rsidRDefault="00423C5D" w:rsidP="000F1A32">
            <w:pPr>
              <w:jc w:val="center"/>
              <w:rPr>
                <w:rFonts w:eastAsia="Times New Roman" w:cs="Times New Roman"/>
                <w:sz w:val="18"/>
                <w:szCs w:val="18"/>
              </w:rPr>
            </w:pPr>
            <w:r>
              <w:rPr>
                <w:rFonts w:eastAsia="Times New Roman" w:cs="Times New Roman"/>
                <w:sz w:val="18"/>
                <w:szCs w:val="18"/>
              </w:rPr>
              <w:t>0.002</w:t>
            </w:r>
          </w:p>
        </w:tc>
        <w:tc>
          <w:tcPr>
            <w:tcW w:w="411" w:type="pct"/>
            <w:noWrap/>
            <w:vAlign w:val="center"/>
          </w:tcPr>
          <w:p w14:paraId="6F3233B4" w14:textId="27346F72" w:rsidR="00423C5D" w:rsidRDefault="00423C5D" w:rsidP="000F1A32">
            <w:pPr>
              <w:jc w:val="center"/>
              <w:rPr>
                <w:rFonts w:eastAsia="Times New Roman" w:cs="Times New Roman"/>
                <w:sz w:val="18"/>
                <w:szCs w:val="18"/>
              </w:rPr>
            </w:pPr>
            <w:r>
              <w:rPr>
                <w:rFonts w:eastAsia="Times New Roman" w:cs="Times New Roman"/>
                <w:sz w:val="18"/>
                <w:szCs w:val="18"/>
              </w:rPr>
              <w:t>0.002</w:t>
            </w:r>
          </w:p>
        </w:tc>
        <w:tc>
          <w:tcPr>
            <w:tcW w:w="409" w:type="pct"/>
            <w:noWrap/>
            <w:vAlign w:val="center"/>
          </w:tcPr>
          <w:p w14:paraId="73F679D9" w14:textId="2593CA5A" w:rsidR="00423C5D" w:rsidRPr="00E72CF3"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51AD649B" w14:textId="0D71FB4F" w:rsidR="00423C5D" w:rsidRDefault="00423C5D" w:rsidP="000F1A32">
            <w:pPr>
              <w:jc w:val="center"/>
              <w:rPr>
                <w:rFonts w:eastAsia="Times New Roman" w:cs="Times New Roman"/>
                <w:sz w:val="18"/>
                <w:szCs w:val="18"/>
              </w:rPr>
            </w:pPr>
            <w:r>
              <w:rPr>
                <w:rFonts w:eastAsia="Times New Roman" w:cs="Times New Roman"/>
                <w:sz w:val="18"/>
                <w:szCs w:val="18"/>
              </w:rPr>
              <w:t>0.008</w:t>
            </w:r>
          </w:p>
        </w:tc>
        <w:tc>
          <w:tcPr>
            <w:tcW w:w="411" w:type="pct"/>
            <w:noWrap/>
          </w:tcPr>
          <w:p w14:paraId="03F96202" w14:textId="1B2C73AC" w:rsidR="00423C5D" w:rsidRDefault="00423C5D" w:rsidP="000F1A32">
            <w:pPr>
              <w:jc w:val="center"/>
              <w:rPr>
                <w:rFonts w:eastAsia="Times New Roman" w:cs="Times New Roman"/>
                <w:sz w:val="18"/>
                <w:szCs w:val="18"/>
              </w:rPr>
            </w:pPr>
            <w:r w:rsidRPr="00AE5BB6">
              <w:rPr>
                <w:rFonts w:eastAsia="Times New Roman" w:cs="Times New Roman"/>
                <w:sz w:val="18"/>
                <w:szCs w:val="18"/>
              </w:rPr>
              <w:t>0.008</w:t>
            </w:r>
          </w:p>
        </w:tc>
        <w:tc>
          <w:tcPr>
            <w:tcW w:w="370" w:type="pct"/>
            <w:noWrap/>
            <w:vAlign w:val="center"/>
          </w:tcPr>
          <w:p w14:paraId="11319616" w14:textId="77777777" w:rsidR="00423C5D" w:rsidRDefault="00423C5D" w:rsidP="000F1A32">
            <w:pPr>
              <w:jc w:val="center"/>
              <w:rPr>
                <w:rFonts w:eastAsia="Times New Roman" w:cs="Times New Roman"/>
                <w:sz w:val="18"/>
                <w:szCs w:val="18"/>
              </w:rPr>
            </w:pPr>
          </w:p>
        </w:tc>
      </w:tr>
      <w:tr w:rsidR="00423C5D" w:rsidRPr="00E72CF3" w14:paraId="159FF87B" w14:textId="77777777" w:rsidTr="006A5B07">
        <w:trPr>
          <w:trHeight w:val="20"/>
        </w:trPr>
        <w:tc>
          <w:tcPr>
            <w:tcW w:w="379" w:type="pct"/>
            <w:vMerge/>
            <w:noWrap/>
            <w:vAlign w:val="center"/>
          </w:tcPr>
          <w:p w14:paraId="66A6F804" w14:textId="77777777" w:rsidR="00423C5D" w:rsidRPr="00E72CF3" w:rsidRDefault="00423C5D" w:rsidP="006A5B07">
            <w:pPr>
              <w:jc w:val="left"/>
              <w:rPr>
                <w:rFonts w:eastAsia="Times New Roman" w:cs="Times New Roman"/>
                <w:sz w:val="18"/>
                <w:szCs w:val="18"/>
              </w:rPr>
            </w:pPr>
          </w:p>
        </w:tc>
        <w:tc>
          <w:tcPr>
            <w:tcW w:w="641" w:type="pct"/>
            <w:noWrap/>
            <w:vAlign w:val="center"/>
          </w:tcPr>
          <w:p w14:paraId="2E858FB7" w14:textId="6B4ABA9A" w:rsidR="00423C5D" w:rsidRDefault="00423C5D" w:rsidP="006A5B07">
            <w:pPr>
              <w:jc w:val="left"/>
              <w:rPr>
                <w:rFonts w:eastAsia="Times New Roman" w:cs="Times New Roman"/>
                <w:sz w:val="18"/>
                <w:szCs w:val="18"/>
              </w:rPr>
            </w:pPr>
            <w:r>
              <w:rPr>
                <w:rFonts w:eastAsia="Times New Roman" w:cs="Times New Roman"/>
                <w:sz w:val="18"/>
                <w:szCs w:val="18"/>
              </w:rPr>
              <w:t>LNG</w:t>
            </w:r>
            <w:r>
              <w:rPr>
                <w:rFonts w:eastAsia="Times New Roman" w:cs="Times New Roman"/>
                <w:sz w:val="18"/>
                <w:szCs w:val="18"/>
                <w:vertAlign w:val="superscript"/>
              </w:rPr>
              <w:t>c</w:t>
            </w:r>
          </w:p>
        </w:tc>
        <w:tc>
          <w:tcPr>
            <w:tcW w:w="566" w:type="pct"/>
            <w:noWrap/>
            <w:vAlign w:val="center"/>
          </w:tcPr>
          <w:p w14:paraId="54E72649" w14:textId="7ACA1C11"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tcPr>
          <w:p w14:paraId="42B4B14F" w14:textId="2C6BD44C"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29030808" w14:textId="3D3CE131"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7457D6B2" w14:textId="113234FB"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68D468EB" w14:textId="7E680875"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09" w:type="pct"/>
            <w:noWrap/>
            <w:vAlign w:val="center"/>
          </w:tcPr>
          <w:p w14:paraId="37C9DBC2" w14:textId="7B763073" w:rsidR="00423C5D" w:rsidRPr="00E72CF3" w:rsidRDefault="00423C5D" w:rsidP="000F1A32">
            <w:pPr>
              <w:jc w:val="center"/>
              <w:rPr>
                <w:rFonts w:eastAsia="Times New Roman" w:cs="Times New Roman"/>
                <w:sz w:val="18"/>
                <w:szCs w:val="18"/>
              </w:rPr>
            </w:pPr>
            <w:r>
              <w:rPr>
                <w:rFonts w:eastAsia="Times New Roman" w:cs="Times New Roman"/>
                <w:sz w:val="18"/>
                <w:szCs w:val="18"/>
              </w:rPr>
              <w:t>5.05</w:t>
            </w:r>
          </w:p>
        </w:tc>
        <w:tc>
          <w:tcPr>
            <w:tcW w:w="411" w:type="pct"/>
            <w:noWrap/>
            <w:vAlign w:val="center"/>
          </w:tcPr>
          <w:p w14:paraId="560079E4" w14:textId="3AFCA884" w:rsidR="00423C5D" w:rsidRDefault="00423C5D" w:rsidP="000F1A32">
            <w:pPr>
              <w:jc w:val="center"/>
              <w:rPr>
                <w:rFonts w:eastAsia="Times New Roman" w:cs="Times New Roman"/>
                <w:sz w:val="18"/>
                <w:szCs w:val="18"/>
              </w:rPr>
            </w:pPr>
            <w:r>
              <w:rPr>
                <w:rFonts w:eastAsia="Times New Roman" w:cs="Times New Roman"/>
                <w:sz w:val="18"/>
                <w:szCs w:val="18"/>
              </w:rPr>
              <w:t>0.008</w:t>
            </w:r>
          </w:p>
        </w:tc>
        <w:tc>
          <w:tcPr>
            <w:tcW w:w="411" w:type="pct"/>
            <w:noWrap/>
          </w:tcPr>
          <w:p w14:paraId="6B51068D" w14:textId="22E903CA" w:rsidR="00423C5D" w:rsidRDefault="00423C5D" w:rsidP="000F1A32">
            <w:pPr>
              <w:jc w:val="center"/>
              <w:rPr>
                <w:rFonts w:eastAsia="Times New Roman" w:cs="Times New Roman"/>
                <w:sz w:val="18"/>
                <w:szCs w:val="18"/>
              </w:rPr>
            </w:pPr>
            <w:r w:rsidRPr="00AE5BB6">
              <w:rPr>
                <w:rFonts w:eastAsia="Times New Roman" w:cs="Times New Roman"/>
                <w:sz w:val="18"/>
                <w:szCs w:val="18"/>
              </w:rPr>
              <w:t>0.008</w:t>
            </w:r>
          </w:p>
        </w:tc>
        <w:tc>
          <w:tcPr>
            <w:tcW w:w="370" w:type="pct"/>
            <w:noWrap/>
            <w:vAlign w:val="center"/>
          </w:tcPr>
          <w:p w14:paraId="1E75508D" w14:textId="6E4E6E25" w:rsidR="00423C5D" w:rsidRDefault="00423C5D" w:rsidP="000F1A32">
            <w:pPr>
              <w:jc w:val="center"/>
              <w:rPr>
                <w:rFonts w:eastAsia="Times New Roman" w:cs="Times New Roman"/>
                <w:sz w:val="18"/>
                <w:szCs w:val="18"/>
              </w:rPr>
            </w:pPr>
            <w:r>
              <w:rPr>
                <w:rFonts w:eastAsia="Times New Roman" w:cs="Times New Roman"/>
                <w:sz w:val="18"/>
                <w:szCs w:val="18"/>
              </w:rPr>
              <w:t>5.05</w:t>
            </w:r>
          </w:p>
        </w:tc>
      </w:tr>
      <w:tr w:rsidR="00423C5D" w:rsidRPr="00E72CF3" w14:paraId="210F2BFC" w14:textId="77777777" w:rsidTr="006A5B07">
        <w:trPr>
          <w:trHeight w:val="20"/>
        </w:trPr>
        <w:tc>
          <w:tcPr>
            <w:tcW w:w="379" w:type="pct"/>
            <w:vMerge w:val="restart"/>
            <w:noWrap/>
            <w:vAlign w:val="center"/>
          </w:tcPr>
          <w:p w14:paraId="338CF891" w14:textId="51B06E8D" w:rsidR="00423C5D" w:rsidRPr="00E72CF3" w:rsidRDefault="00423C5D" w:rsidP="006A5B07">
            <w:pPr>
              <w:jc w:val="left"/>
              <w:rPr>
                <w:rFonts w:eastAsia="Times New Roman" w:cs="Times New Roman"/>
                <w:sz w:val="18"/>
                <w:szCs w:val="18"/>
              </w:rPr>
            </w:pPr>
            <w:r>
              <w:rPr>
                <w:rFonts w:eastAsia="Times New Roman" w:cs="Times New Roman"/>
                <w:sz w:val="18"/>
                <w:szCs w:val="18"/>
              </w:rPr>
              <w:t>N</w:t>
            </w:r>
            <w:r w:rsidRPr="0025784E">
              <w:rPr>
                <w:rFonts w:eastAsia="Times New Roman" w:cs="Times New Roman"/>
                <w:sz w:val="18"/>
                <w:szCs w:val="18"/>
                <w:vertAlign w:val="subscript"/>
              </w:rPr>
              <w:t>2</w:t>
            </w:r>
            <w:r>
              <w:rPr>
                <w:rFonts w:eastAsia="Times New Roman" w:cs="Times New Roman"/>
                <w:sz w:val="18"/>
                <w:szCs w:val="18"/>
              </w:rPr>
              <w:t>O</w:t>
            </w:r>
            <w:r w:rsidRPr="00D7162C">
              <w:rPr>
                <w:rFonts w:eastAsia="Times New Roman" w:cs="Times New Roman"/>
                <w:sz w:val="18"/>
                <w:szCs w:val="18"/>
                <w:vertAlign w:val="superscript"/>
              </w:rPr>
              <w:t>b</w:t>
            </w:r>
          </w:p>
        </w:tc>
        <w:tc>
          <w:tcPr>
            <w:tcW w:w="641" w:type="pct"/>
            <w:noWrap/>
            <w:vAlign w:val="center"/>
          </w:tcPr>
          <w:p w14:paraId="4228ADB7" w14:textId="18E45829" w:rsidR="00423C5D" w:rsidRDefault="00423C5D" w:rsidP="006A5B07">
            <w:pPr>
              <w:jc w:val="left"/>
              <w:rPr>
                <w:rFonts w:eastAsia="Times New Roman" w:cs="Times New Roman"/>
                <w:sz w:val="18"/>
                <w:szCs w:val="18"/>
              </w:rPr>
            </w:pPr>
            <w:r>
              <w:rPr>
                <w:rFonts w:eastAsia="Times New Roman" w:cs="Times New Roman"/>
                <w:sz w:val="18"/>
                <w:szCs w:val="18"/>
              </w:rPr>
              <w:t>HFO/MDO</w:t>
            </w:r>
            <w:r>
              <w:rPr>
                <w:rFonts w:eastAsia="Times New Roman" w:cs="Times New Roman"/>
                <w:sz w:val="18"/>
                <w:szCs w:val="18"/>
                <w:vertAlign w:val="superscript"/>
              </w:rPr>
              <w:t xml:space="preserve"> b</w:t>
            </w:r>
          </w:p>
        </w:tc>
        <w:tc>
          <w:tcPr>
            <w:tcW w:w="566" w:type="pct"/>
            <w:noWrap/>
            <w:vAlign w:val="center"/>
          </w:tcPr>
          <w:p w14:paraId="2D9D138F" w14:textId="0F2DE421"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tcPr>
          <w:p w14:paraId="7E0412C3" w14:textId="37E10530" w:rsidR="00423C5D" w:rsidRDefault="00423C5D" w:rsidP="000F1A32">
            <w:pPr>
              <w:jc w:val="center"/>
              <w:rPr>
                <w:rFonts w:eastAsia="Times New Roman" w:cs="Times New Roman"/>
                <w:sz w:val="18"/>
                <w:szCs w:val="18"/>
              </w:rPr>
            </w:pPr>
            <w:r>
              <w:rPr>
                <w:rFonts w:eastAsia="Times New Roman" w:cs="Times New Roman"/>
                <w:sz w:val="18"/>
                <w:szCs w:val="18"/>
              </w:rPr>
              <w:t>0.031</w:t>
            </w:r>
          </w:p>
        </w:tc>
        <w:tc>
          <w:tcPr>
            <w:tcW w:w="411" w:type="pct"/>
            <w:noWrap/>
            <w:vAlign w:val="center"/>
          </w:tcPr>
          <w:p w14:paraId="7D50BD6B" w14:textId="08E2D9CB" w:rsidR="00423C5D" w:rsidRDefault="00423C5D" w:rsidP="000F1A32">
            <w:pPr>
              <w:jc w:val="center"/>
              <w:rPr>
                <w:rFonts w:eastAsia="Times New Roman" w:cs="Times New Roman"/>
                <w:sz w:val="18"/>
                <w:szCs w:val="18"/>
              </w:rPr>
            </w:pPr>
            <w:r>
              <w:rPr>
                <w:rFonts w:eastAsia="Times New Roman" w:cs="Times New Roman"/>
                <w:sz w:val="18"/>
                <w:szCs w:val="18"/>
              </w:rPr>
              <w:t>0.034</w:t>
            </w:r>
          </w:p>
        </w:tc>
        <w:tc>
          <w:tcPr>
            <w:tcW w:w="411" w:type="pct"/>
            <w:noWrap/>
            <w:vAlign w:val="center"/>
          </w:tcPr>
          <w:p w14:paraId="1D7FB85F" w14:textId="33272010" w:rsidR="00423C5D" w:rsidRDefault="00423C5D" w:rsidP="000F1A32">
            <w:pPr>
              <w:jc w:val="center"/>
              <w:rPr>
                <w:rFonts w:eastAsia="Times New Roman" w:cs="Times New Roman"/>
                <w:sz w:val="18"/>
                <w:szCs w:val="18"/>
              </w:rPr>
            </w:pPr>
            <w:r>
              <w:rPr>
                <w:rFonts w:eastAsia="Times New Roman" w:cs="Times New Roman"/>
                <w:sz w:val="18"/>
                <w:szCs w:val="18"/>
              </w:rPr>
              <w:t>0.049</w:t>
            </w:r>
          </w:p>
        </w:tc>
        <w:tc>
          <w:tcPr>
            <w:tcW w:w="411" w:type="pct"/>
            <w:noWrap/>
            <w:vAlign w:val="center"/>
          </w:tcPr>
          <w:p w14:paraId="47D0C9C9" w14:textId="267768F4" w:rsidR="00423C5D" w:rsidRDefault="00423C5D" w:rsidP="000F1A32">
            <w:pPr>
              <w:jc w:val="center"/>
              <w:rPr>
                <w:rFonts w:eastAsia="Times New Roman" w:cs="Times New Roman"/>
                <w:sz w:val="18"/>
                <w:szCs w:val="18"/>
              </w:rPr>
            </w:pPr>
            <w:r>
              <w:rPr>
                <w:rFonts w:eastAsia="Times New Roman" w:cs="Times New Roman"/>
                <w:sz w:val="18"/>
                <w:szCs w:val="18"/>
              </w:rPr>
              <w:t>0.049</w:t>
            </w:r>
          </w:p>
        </w:tc>
        <w:tc>
          <w:tcPr>
            <w:tcW w:w="409" w:type="pct"/>
            <w:noWrap/>
            <w:vAlign w:val="center"/>
          </w:tcPr>
          <w:p w14:paraId="2FDA037B" w14:textId="77777777" w:rsidR="00423C5D" w:rsidRDefault="00423C5D" w:rsidP="000F1A32">
            <w:pPr>
              <w:jc w:val="center"/>
              <w:rPr>
                <w:rFonts w:eastAsia="Times New Roman" w:cs="Times New Roman"/>
                <w:sz w:val="18"/>
                <w:szCs w:val="18"/>
              </w:rPr>
            </w:pPr>
          </w:p>
        </w:tc>
        <w:tc>
          <w:tcPr>
            <w:tcW w:w="411" w:type="pct"/>
            <w:noWrap/>
            <w:vAlign w:val="center"/>
          </w:tcPr>
          <w:p w14:paraId="59C448E5" w14:textId="396B4EB8" w:rsidR="00423C5D" w:rsidRDefault="00423C5D" w:rsidP="000F1A32">
            <w:pPr>
              <w:jc w:val="center"/>
              <w:rPr>
                <w:rFonts w:eastAsia="Times New Roman" w:cs="Times New Roman"/>
                <w:sz w:val="18"/>
                <w:szCs w:val="18"/>
              </w:rPr>
            </w:pPr>
            <w:r>
              <w:rPr>
                <w:rFonts w:eastAsia="Times New Roman" w:cs="Times New Roman"/>
                <w:sz w:val="18"/>
                <w:szCs w:val="18"/>
              </w:rPr>
              <w:t>0.036</w:t>
            </w:r>
          </w:p>
        </w:tc>
        <w:tc>
          <w:tcPr>
            <w:tcW w:w="411" w:type="pct"/>
            <w:noWrap/>
            <w:vAlign w:val="center"/>
          </w:tcPr>
          <w:p w14:paraId="5A2D5068" w14:textId="20A3302C" w:rsidR="00423C5D" w:rsidRDefault="00423C5D" w:rsidP="000F1A32">
            <w:pPr>
              <w:jc w:val="center"/>
              <w:rPr>
                <w:rFonts w:eastAsia="Times New Roman" w:cs="Times New Roman"/>
                <w:sz w:val="18"/>
                <w:szCs w:val="18"/>
              </w:rPr>
            </w:pPr>
            <w:r>
              <w:rPr>
                <w:rFonts w:eastAsia="Times New Roman" w:cs="Times New Roman"/>
                <w:sz w:val="18"/>
                <w:szCs w:val="18"/>
              </w:rPr>
              <w:t>0.036</w:t>
            </w:r>
          </w:p>
        </w:tc>
        <w:tc>
          <w:tcPr>
            <w:tcW w:w="370" w:type="pct"/>
            <w:noWrap/>
            <w:vAlign w:val="center"/>
          </w:tcPr>
          <w:p w14:paraId="1772901B" w14:textId="065C428F" w:rsidR="00423C5D" w:rsidRDefault="00423C5D" w:rsidP="000F1A32">
            <w:pPr>
              <w:jc w:val="center"/>
              <w:rPr>
                <w:rFonts w:eastAsia="Times New Roman" w:cs="Times New Roman"/>
                <w:sz w:val="18"/>
                <w:szCs w:val="18"/>
              </w:rPr>
            </w:pPr>
            <w:r>
              <w:rPr>
                <w:rFonts w:eastAsia="Times New Roman" w:cs="Times New Roman"/>
                <w:sz w:val="18"/>
                <w:szCs w:val="18"/>
              </w:rPr>
              <w:t>-</w:t>
            </w:r>
          </w:p>
        </w:tc>
      </w:tr>
      <w:tr w:rsidR="00423C5D" w:rsidRPr="00E72CF3" w14:paraId="368BFE4B" w14:textId="77777777" w:rsidTr="006A5B07">
        <w:trPr>
          <w:trHeight w:val="20"/>
        </w:trPr>
        <w:tc>
          <w:tcPr>
            <w:tcW w:w="379" w:type="pct"/>
            <w:vMerge/>
            <w:noWrap/>
            <w:vAlign w:val="center"/>
          </w:tcPr>
          <w:p w14:paraId="2E5EF55E" w14:textId="77777777" w:rsidR="00423C5D" w:rsidRPr="00E72CF3" w:rsidRDefault="00423C5D" w:rsidP="006A5B07">
            <w:pPr>
              <w:jc w:val="left"/>
              <w:rPr>
                <w:rFonts w:eastAsia="Times New Roman" w:cs="Times New Roman"/>
                <w:sz w:val="18"/>
                <w:szCs w:val="18"/>
              </w:rPr>
            </w:pPr>
          </w:p>
        </w:tc>
        <w:tc>
          <w:tcPr>
            <w:tcW w:w="641" w:type="pct"/>
            <w:noWrap/>
            <w:vAlign w:val="center"/>
          </w:tcPr>
          <w:p w14:paraId="0BF7E6CD" w14:textId="1FB46D42" w:rsidR="00423C5D" w:rsidRDefault="00423C5D" w:rsidP="006A5B07">
            <w:pPr>
              <w:jc w:val="left"/>
              <w:rPr>
                <w:rFonts w:eastAsia="Times New Roman" w:cs="Times New Roman"/>
                <w:sz w:val="18"/>
                <w:szCs w:val="18"/>
              </w:rPr>
            </w:pPr>
            <w:r>
              <w:rPr>
                <w:rFonts w:eastAsia="Times New Roman" w:cs="Times New Roman"/>
                <w:sz w:val="18"/>
                <w:szCs w:val="18"/>
              </w:rPr>
              <w:t>LNG</w:t>
            </w:r>
            <w:r>
              <w:rPr>
                <w:rFonts w:eastAsia="Times New Roman" w:cs="Times New Roman"/>
                <w:sz w:val="18"/>
                <w:szCs w:val="18"/>
                <w:vertAlign w:val="superscript"/>
              </w:rPr>
              <w:t>c</w:t>
            </w:r>
          </w:p>
        </w:tc>
        <w:tc>
          <w:tcPr>
            <w:tcW w:w="566" w:type="pct"/>
            <w:noWrap/>
            <w:vAlign w:val="center"/>
          </w:tcPr>
          <w:p w14:paraId="405DFD2C" w14:textId="55EAE994"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580" w:type="pct"/>
            <w:noWrap/>
            <w:vAlign w:val="center"/>
          </w:tcPr>
          <w:p w14:paraId="70C64B63" w14:textId="055CA88A"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0246FCF8" w14:textId="1634C533"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78636E10" w14:textId="31C83E96"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19824FF5" w14:textId="454D121C"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09" w:type="pct"/>
            <w:noWrap/>
            <w:vAlign w:val="center"/>
          </w:tcPr>
          <w:p w14:paraId="37422306" w14:textId="2CF86421" w:rsidR="00423C5D" w:rsidRDefault="00423C5D" w:rsidP="000F1A32">
            <w:pPr>
              <w:jc w:val="center"/>
              <w:rPr>
                <w:rFonts w:eastAsia="Times New Roman" w:cs="Times New Roman"/>
                <w:sz w:val="18"/>
                <w:szCs w:val="18"/>
              </w:rPr>
            </w:pPr>
            <w:r>
              <w:rPr>
                <w:rFonts w:eastAsia="Times New Roman" w:cs="Times New Roman"/>
                <w:sz w:val="18"/>
                <w:szCs w:val="18"/>
              </w:rPr>
              <w:t>0.015</w:t>
            </w:r>
          </w:p>
        </w:tc>
        <w:tc>
          <w:tcPr>
            <w:tcW w:w="411" w:type="pct"/>
            <w:noWrap/>
            <w:vAlign w:val="center"/>
          </w:tcPr>
          <w:p w14:paraId="7F467FC8" w14:textId="3B39DDEA"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411" w:type="pct"/>
            <w:noWrap/>
            <w:vAlign w:val="center"/>
          </w:tcPr>
          <w:p w14:paraId="4EA11D5B" w14:textId="7330AFCF" w:rsidR="00423C5D" w:rsidRDefault="00423C5D" w:rsidP="000F1A32">
            <w:pPr>
              <w:jc w:val="center"/>
              <w:rPr>
                <w:rFonts w:eastAsia="Times New Roman" w:cs="Times New Roman"/>
                <w:sz w:val="18"/>
                <w:szCs w:val="18"/>
              </w:rPr>
            </w:pPr>
            <w:r>
              <w:rPr>
                <w:rFonts w:eastAsia="Times New Roman" w:cs="Times New Roman"/>
                <w:sz w:val="18"/>
                <w:szCs w:val="18"/>
              </w:rPr>
              <w:t>-</w:t>
            </w:r>
          </w:p>
        </w:tc>
        <w:tc>
          <w:tcPr>
            <w:tcW w:w="370" w:type="pct"/>
            <w:noWrap/>
            <w:vAlign w:val="center"/>
          </w:tcPr>
          <w:p w14:paraId="15F01616" w14:textId="26B4A71C" w:rsidR="00423C5D" w:rsidRDefault="00423C5D" w:rsidP="000F1A32">
            <w:pPr>
              <w:jc w:val="center"/>
              <w:rPr>
                <w:rFonts w:eastAsia="Times New Roman" w:cs="Times New Roman"/>
                <w:sz w:val="18"/>
                <w:szCs w:val="18"/>
              </w:rPr>
            </w:pPr>
            <w:r>
              <w:rPr>
                <w:rFonts w:eastAsia="Times New Roman" w:cs="Times New Roman"/>
                <w:sz w:val="18"/>
                <w:szCs w:val="18"/>
              </w:rPr>
              <w:t>0.015</w:t>
            </w:r>
          </w:p>
        </w:tc>
      </w:tr>
    </w:tbl>
    <w:p w14:paraId="79C85F84" w14:textId="4541CCFB" w:rsidR="0068315E" w:rsidRDefault="0068315E" w:rsidP="000F1A32">
      <w:pPr>
        <w:spacing w:after="0" w:line="240" w:lineRule="auto"/>
        <w:rPr>
          <w:sz w:val="16"/>
        </w:rPr>
      </w:pPr>
      <w:r w:rsidRPr="0068315E">
        <w:rPr>
          <w:sz w:val="16"/>
        </w:rPr>
        <w:t>SSD</w:t>
      </w:r>
      <w:r w:rsidR="00AA250B">
        <w:rPr>
          <w:sz w:val="16"/>
        </w:rPr>
        <w:t xml:space="preserve">: </w:t>
      </w:r>
      <w:r w:rsidR="00AA250B" w:rsidRPr="00AA250B">
        <w:rPr>
          <w:sz w:val="16"/>
        </w:rPr>
        <w:t>Slow</w:t>
      </w:r>
      <w:r w:rsidR="00454492">
        <w:rPr>
          <w:sz w:val="16"/>
        </w:rPr>
        <w:t>-</w:t>
      </w:r>
      <w:r w:rsidR="00AA250B" w:rsidRPr="00AA250B">
        <w:rPr>
          <w:sz w:val="16"/>
        </w:rPr>
        <w:t>Speed Diesel</w:t>
      </w:r>
      <w:r w:rsidR="00AA250B">
        <w:rPr>
          <w:sz w:val="16"/>
        </w:rPr>
        <w:t xml:space="preserve">,  </w:t>
      </w:r>
      <w:r w:rsidRPr="0068315E">
        <w:rPr>
          <w:sz w:val="16"/>
        </w:rPr>
        <w:t>MSD</w:t>
      </w:r>
      <w:r w:rsidR="00AA250B">
        <w:rPr>
          <w:sz w:val="16"/>
        </w:rPr>
        <w:t xml:space="preserve">: </w:t>
      </w:r>
      <w:r w:rsidR="00AA250B" w:rsidRPr="00AA250B">
        <w:rPr>
          <w:sz w:val="16"/>
        </w:rPr>
        <w:t>Medium</w:t>
      </w:r>
      <w:r w:rsidR="00454492">
        <w:rPr>
          <w:sz w:val="16"/>
        </w:rPr>
        <w:t>-</w:t>
      </w:r>
      <w:r w:rsidR="00AA250B" w:rsidRPr="00AA250B">
        <w:rPr>
          <w:sz w:val="16"/>
        </w:rPr>
        <w:t>Speed Diesel</w:t>
      </w:r>
      <w:r w:rsidR="00AA250B">
        <w:rPr>
          <w:sz w:val="16"/>
        </w:rPr>
        <w:t xml:space="preserve">,  </w:t>
      </w:r>
      <w:r w:rsidRPr="0068315E">
        <w:rPr>
          <w:sz w:val="16"/>
        </w:rPr>
        <w:t>ST</w:t>
      </w:r>
      <w:r w:rsidR="00AA250B">
        <w:rPr>
          <w:sz w:val="16"/>
        </w:rPr>
        <w:t xml:space="preserve">: Steam Turbine,  </w:t>
      </w:r>
      <w:r w:rsidRPr="0068315E">
        <w:rPr>
          <w:sz w:val="16"/>
        </w:rPr>
        <w:t>GT</w:t>
      </w:r>
      <w:r w:rsidR="00AA250B">
        <w:rPr>
          <w:sz w:val="16"/>
        </w:rPr>
        <w:t xml:space="preserve">: Gas Turbine,  </w:t>
      </w:r>
      <w:r w:rsidRPr="0068315E">
        <w:rPr>
          <w:sz w:val="16"/>
        </w:rPr>
        <w:t>HSD</w:t>
      </w:r>
      <w:r w:rsidR="00AA250B">
        <w:rPr>
          <w:sz w:val="16"/>
        </w:rPr>
        <w:t>: High</w:t>
      </w:r>
      <w:r w:rsidR="00454492">
        <w:rPr>
          <w:sz w:val="16"/>
        </w:rPr>
        <w:t>-</w:t>
      </w:r>
      <w:r w:rsidR="00AA250B">
        <w:rPr>
          <w:sz w:val="16"/>
        </w:rPr>
        <w:t>Speed Diesel</w:t>
      </w:r>
    </w:p>
    <w:p w14:paraId="263EBCF8" w14:textId="7BAFF923" w:rsidR="00423C5D" w:rsidRDefault="00423C5D" w:rsidP="000F1A32">
      <w:pPr>
        <w:spacing w:after="0" w:line="240" w:lineRule="auto"/>
        <w:rPr>
          <w:sz w:val="16"/>
        </w:rPr>
      </w:pPr>
      <w:r w:rsidRPr="00423C5D">
        <w:rPr>
          <w:rFonts w:eastAsia="Times New Roman" w:cs="Times New Roman"/>
          <w:sz w:val="18"/>
          <w:szCs w:val="18"/>
          <w:vertAlign w:val="superscript"/>
        </w:rPr>
        <w:t>*</w:t>
      </w:r>
      <w:r>
        <w:rPr>
          <w:rFonts w:eastAsia="Times New Roman" w:cs="Times New Roman"/>
          <w:sz w:val="18"/>
          <w:szCs w:val="18"/>
          <w:vertAlign w:val="superscript"/>
        </w:rPr>
        <w:t xml:space="preserve"> </w:t>
      </w:r>
      <w:r>
        <w:rPr>
          <w:sz w:val="16"/>
        </w:rPr>
        <w:t>PM10 does not include PM converted from sulfur. It is estimated that 2.247% of sulfur in fuels is</w:t>
      </w:r>
      <w:r w:rsidR="00D21CFE">
        <w:rPr>
          <w:sz w:val="16"/>
        </w:rPr>
        <w:t xml:space="preserve"> converted into additional PM10</w:t>
      </w:r>
      <w:r>
        <w:rPr>
          <w:sz w:val="16"/>
        </w:rPr>
        <w:t>.</w:t>
      </w:r>
    </w:p>
    <w:p w14:paraId="2CF109E2" w14:textId="4F82C00F" w:rsidR="00D73092" w:rsidRDefault="00D73092" w:rsidP="000F1A32">
      <w:pPr>
        <w:spacing w:after="0" w:line="240" w:lineRule="auto"/>
        <w:rPr>
          <w:sz w:val="16"/>
        </w:rPr>
      </w:pPr>
      <w:r>
        <w:rPr>
          <w:sz w:val="16"/>
        </w:rPr>
        <w:t xml:space="preserve">References: </w:t>
      </w:r>
      <w:r w:rsidRPr="00D73092">
        <w:rPr>
          <w:sz w:val="16"/>
          <w:vertAlign w:val="superscript"/>
        </w:rPr>
        <w:t>a</w:t>
      </w:r>
      <w:r>
        <w:rPr>
          <w:sz w:val="16"/>
        </w:rPr>
        <w:t xml:space="preserve"> </w:t>
      </w:r>
      <w:r w:rsidR="00D21CFE">
        <w:rPr>
          <w:sz w:val="16"/>
        </w:rPr>
        <w:t>Billings [personal communication]</w:t>
      </w:r>
      <w:r>
        <w:rPr>
          <w:sz w:val="16"/>
        </w:rPr>
        <w:t xml:space="preserve">, </w:t>
      </w:r>
      <w:r w:rsidRPr="00D73092">
        <w:rPr>
          <w:sz w:val="16"/>
          <w:vertAlign w:val="superscript"/>
        </w:rPr>
        <w:t>b</w:t>
      </w:r>
      <w:r>
        <w:rPr>
          <w:sz w:val="16"/>
        </w:rPr>
        <w:t xml:space="preserve"> IMO 2014 </w:t>
      </w:r>
      <w:r>
        <w:rPr>
          <w:sz w:val="16"/>
        </w:rPr>
        <w:fldChar w:fldCharType="begin"/>
      </w:r>
      <w:r w:rsidR="0088734B">
        <w:rPr>
          <w:sz w:val="16"/>
        </w:rPr>
        <w:instrText xml:space="preserve"> ADDIN ZOTERO_ITEM CSL_CITATION {"citationID":"aJHceEZO","properties":{"formattedCitation":"[14]","plainCitation":"[14]","noteIndex":0},"citationItems":[{"id":3059,"uris":["http://zotero.org/users/2367688/items/SMKLAFJ2"],"uri":["http://zotero.org/users/2367688/items/SMKLAFJ2"],"itemData":{"id":3059,"type":"report","title":"Third IMO Greenhouse Gas Study 2014","publisher-place":"Suffolk, UK","source":"Google Scholar","event-place":"Suffolk, UK","URL":"http://www.imo.org/en/OurWork/Environment/PollutionPrevention/AirPollution/Documents/Third%20Greenhouse%20Gas%20Study/GHG3%20Executive%20Summary%20and%20Report.pdf","author":[{"literal":"IMO"}],"issued":{"date-parts":[["2015"]]},"accessed":{"date-parts":[["2018",12,5]]}}}],"schema":"https://github.com/citation-style-language/schema/raw/master/csl-citation.json"} </w:instrText>
      </w:r>
      <w:r>
        <w:rPr>
          <w:sz w:val="16"/>
        </w:rPr>
        <w:fldChar w:fldCharType="separate"/>
      </w:r>
      <w:r w:rsidR="0088734B" w:rsidRPr="0088734B">
        <w:rPr>
          <w:rFonts w:cs="Times New Roman"/>
          <w:sz w:val="16"/>
        </w:rPr>
        <w:t>[14]</w:t>
      </w:r>
      <w:r>
        <w:rPr>
          <w:sz w:val="16"/>
        </w:rPr>
        <w:fldChar w:fldCharType="end"/>
      </w:r>
      <w:r>
        <w:rPr>
          <w:sz w:val="16"/>
        </w:rPr>
        <w:t xml:space="preserve">, </w:t>
      </w:r>
      <w:r w:rsidRPr="00D73092">
        <w:rPr>
          <w:sz w:val="16"/>
          <w:vertAlign w:val="superscript"/>
        </w:rPr>
        <w:t>c</w:t>
      </w:r>
      <w:r>
        <w:rPr>
          <w:sz w:val="16"/>
        </w:rPr>
        <w:t xml:space="preserve"> Thomson et al. </w:t>
      </w:r>
      <w:r>
        <w:rPr>
          <w:sz w:val="16"/>
        </w:rPr>
        <w:fldChar w:fldCharType="begin"/>
      </w:r>
      <w:r w:rsidR="0088734B">
        <w:rPr>
          <w:sz w:val="16"/>
        </w:rPr>
        <w:instrText xml:space="preserve"> ADDIN ZOTERO_ITEM CSL_CITATION {"citationID":"5OSrpz3B","properties":{"formattedCitation":"[15]","plainCitation":"[15]","noteIndex":0},"citationItems":[{"id":3219,"uris":["http://zotero.org/users/2367688/items/VLHMQDNV"],"uri":["http://zotero.org/users/2367688/items/VLHMQDNV"],"itemData":{"id":3219,"type":"article-journal","title":"Natural gas as a marine fuel","container-title":"Energy Policy","page":"153-167","volume":"87","source":"ScienceDirect","abstract":"This paper provides new knowledge about the life-cycle emissions of natural gas compared to traditional petroleum-based fuels in the marine sector. While natural gas will reduce local air pollutants, such as sulfur oxides and particulate matter, the implications for greenhouse gases depend on how the natural gas is extracted, processed, distributed, and used. Applying a “technology warming potential” (TWP) approach, natural gas as a marine fuel achieves climate parity within 30 years for diesel ignited engines, though could take up to 190 years to reach climate parity with conventional fuels in a spark ignited engine. Movement towards natural gas as a marine fuel continues to progress, and conditions exist in some regions to make a near-term transition to natural gas feasible. Liquefied natural gas in marine transportation is likely to be incentivized where economics favoring natural gas is coupled with air emissions public policy targets. To ensure that climate neutral conversion is achieved with the least delay, TWP results highlight the important role of energy policy for infrastructure development of upstream pathways and onboard ship systems technology innovation.","DOI":"10.1016/j.enpol.2015.08.027","ISSN":"0301-4215","journalAbbreviation":"Energy Policy","author":[{"family":"Thomson","given":"Heather"},{"family":"Corbett","given":"James J."},{"family":"Winebrake","given":"James J."}],"issued":{"date-parts":[["2015",12,1]]}}}],"schema":"https://github.com/citation-style-language/schema/raw/master/csl-citation.json"} </w:instrText>
      </w:r>
      <w:r>
        <w:rPr>
          <w:sz w:val="16"/>
        </w:rPr>
        <w:fldChar w:fldCharType="separate"/>
      </w:r>
      <w:r w:rsidR="0088734B" w:rsidRPr="0088734B">
        <w:rPr>
          <w:rFonts w:cs="Times New Roman"/>
          <w:sz w:val="16"/>
        </w:rPr>
        <w:t>[15]</w:t>
      </w:r>
      <w:r>
        <w:rPr>
          <w:sz w:val="16"/>
        </w:rPr>
        <w:fldChar w:fldCharType="end"/>
      </w:r>
    </w:p>
    <w:p w14:paraId="66383442" w14:textId="0C9602B1" w:rsidR="00F71DAC" w:rsidRDefault="00F71DAC" w:rsidP="000F1A32">
      <w:pPr>
        <w:spacing w:after="0" w:line="240" w:lineRule="auto"/>
      </w:pPr>
    </w:p>
    <w:p w14:paraId="71F20635" w14:textId="77777777" w:rsidR="00C93B96" w:rsidRDefault="00C93B96" w:rsidP="000F1A32">
      <w:pPr>
        <w:spacing w:after="0" w:line="240" w:lineRule="auto"/>
      </w:pPr>
    </w:p>
    <w:p w14:paraId="2D7B2ACE" w14:textId="512E6994" w:rsidR="00455BB0" w:rsidRDefault="00455BB0" w:rsidP="00C51EBD">
      <w:pPr>
        <w:pStyle w:val="Heading2"/>
      </w:pPr>
      <w:r>
        <w:t xml:space="preserve">Fuel Consumption </w:t>
      </w:r>
    </w:p>
    <w:p w14:paraId="7C952901" w14:textId="53F1B795" w:rsidR="00455BB0" w:rsidRDefault="00455BB0" w:rsidP="000F1A32">
      <w:pPr>
        <w:spacing w:after="0" w:line="240" w:lineRule="auto"/>
      </w:pPr>
      <w:r>
        <w:t xml:space="preserve">Marine fuel consumption </w:t>
      </w:r>
      <w:r w:rsidR="00AA250B">
        <w:t xml:space="preserve">presented as </w:t>
      </w:r>
      <w:r w:rsidR="00AA250B" w:rsidRPr="00AA250B">
        <w:t>brake-specific fuel consumption (BSFC) or specific fuel oil consumption (SFOC)</w:t>
      </w:r>
      <w:r w:rsidR="00AA250B">
        <w:t xml:space="preserve"> also </w:t>
      </w:r>
      <w:r>
        <w:t xml:space="preserve">varies by fuel and engine types. </w:t>
      </w:r>
      <w:r w:rsidR="00AA250B">
        <w:t xml:space="preserve">The information is important to estimate the energy use for a trip. </w:t>
      </w:r>
      <w:r>
        <w:t>Additionally, since SOx and CO</w:t>
      </w:r>
      <w:r w:rsidRPr="00454492">
        <w:rPr>
          <w:vertAlign w:val="subscript"/>
        </w:rPr>
        <w:t>2</w:t>
      </w:r>
      <w:r>
        <w:t xml:space="preserve"> emissions are estimated based on sulfur and carbon balances, respectively, </w:t>
      </w:r>
      <w:r w:rsidR="00AA250B">
        <w:t>fuel consumption values are used to estimate SOx and CO</w:t>
      </w:r>
      <w:r w:rsidR="00AA250B" w:rsidRPr="00454492">
        <w:rPr>
          <w:vertAlign w:val="subscript"/>
        </w:rPr>
        <w:t>2</w:t>
      </w:r>
      <w:r w:rsidR="00AA250B">
        <w:t xml:space="preserve"> emissions. We used SFOC data from the IMO 2014 report </w:t>
      </w:r>
      <w:r w:rsidR="00AA250B">
        <w:fldChar w:fldCharType="begin"/>
      </w:r>
      <w:r w:rsidR="0088734B">
        <w:instrText xml:space="preserve"> ADDIN ZOTERO_ITEM CSL_CITATION {"citationID":"a1gs8urk6c0","properties":{"formattedCitation":"[14]","plainCitation":"[14]","noteIndex":0},"citationItems":[{"id":3059,"uris":["http://zotero.org/users/2367688/items/SMKLAFJ2"],"uri":["http://zotero.org/users/2367688/items/SMKLAFJ2"],"itemData":{"id":3059,"type":"report","title":"Third IMO Greenhouse Gas Study 2014","publisher-place":"Suffolk, UK","source":"Google Scholar","event-place":"Suffolk, UK","URL":"http://www.imo.org/en/OurWork/Environment/PollutionPrevention/AirPollution/Documents/Third%20Greenhouse%20Gas%20Study/GHG3%20Executive%20Summary%20and%20Report.pdf","author":[{"literal":"IMO"}],"issued":{"date-parts":[["2015"]]},"accessed":{"date-parts":[["2018",12,5]]}}}],"schema":"https://github.com/citation-style-language/schema/raw/master/csl-citation.json"} </w:instrText>
      </w:r>
      <w:r w:rsidR="00AA250B">
        <w:fldChar w:fldCharType="separate"/>
      </w:r>
      <w:r w:rsidR="0088734B" w:rsidRPr="0088734B">
        <w:rPr>
          <w:rFonts w:cs="Times New Roman"/>
        </w:rPr>
        <w:t>[14]</w:t>
      </w:r>
      <w:r w:rsidR="00AA250B">
        <w:fldChar w:fldCharType="end"/>
      </w:r>
      <w:r w:rsidR="00AA250B">
        <w:t xml:space="preserve"> (</w:t>
      </w:r>
      <w:r w:rsidR="00AA250B">
        <w:fldChar w:fldCharType="begin"/>
      </w:r>
      <w:r w:rsidR="00AA250B">
        <w:instrText xml:space="preserve"> REF _Ref18394536 \h </w:instrText>
      </w:r>
      <w:r w:rsidR="00AA250B">
        <w:fldChar w:fldCharType="separate"/>
      </w:r>
      <w:r w:rsidR="00AA250B">
        <w:t xml:space="preserve">Table </w:t>
      </w:r>
      <w:r w:rsidR="00AA250B">
        <w:rPr>
          <w:noProof/>
        </w:rPr>
        <w:t>6</w:t>
      </w:r>
      <w:r w:rsidR="00AA250B">
        <w:fldChar w:fldCharType="end"/>
      </w:r>
      <w:r w:rsidR="00AA250B">
        <w:t>).</w:t>
      </w:r>
      <w:r w:rsidR="00F1694E">
        <w:t xml:space="preserve"> </w:t>
      </w:r>
      <w:r w:rsidR="00DF5562">
        <w:t>T</w:t>
      </w:r>
      <w:r w:rsidR="001E1C32">
        <w:t>he fuel consumption values (g fuel/kWh operation) of MGO/MDO were converted into energy consumption (Btu/kWh operation)</w:t>
      </w:r>
      <w:r w:rsidR="00DF5562">
        <w:t xml:space="preserve">; the same energy consumption values are used for diesel fuels. </w:t>
      </w:r>
    </w:p>
    <w:p w14:paraId="3A41E660" w14:textId="77777777" w:rsidR="00F1694E" w:rsidRPr="00455BB0" w:rsidRDefault="00F1694E" w:rsidP="000F1A32">
      <w:pPr>
        <w:spacing w:after="0" w:line="240" w:lineRule="auto"/>
      </w:pPr>
    </w:p>
    <w:p w14:paraId="086EE550" w14:textId="2EDACF9F" w:rsidR="00455BB0" w:rsidRDefault="00455BB0" w:rsidP="000F1A32">
      <w:pPr>
        <w:pStyle w:val="Caption"/>
        <w:spacing w:after="0"/>
      </w:pPr>
      <w:bookmarkStart w:id="7" w:name="_Ref18394536"/>
      <w:r>
        <w:t xml:space="preserve">Table </w:t>
      </w:r>
      <w:r w:rsidR="006D53AC">
        <w:rPr>
          <w:noProof/>
        </w:rPr>
        <w:fldChar w:fldCharType="begin"/>
      </w:r>
      <w:r w:rsidR="006D53AC">
        <w:rPr>
          <w:noProof/>
        </w:rPr>
        <w:instrText xml:space="preserve"> SEQ Table \* ARABIC </w:instrText>
      </w:r>
      <w:r w:rsidR="006D53AC">
        <w:rPr>
          <w:noProof/>
        </w:rPr>
        <w:fldChar w:fldCharType="separate"/>
      </w:r>
      <w:r w:rsidR="00AA250B">
        <w:rPr>
          <w:noProof/>
        </w:rPr>
        <w:t>6</w:t>
      </w:r>
      <w:r w:rsidR="006D53AC">
        <w:rPr>
          <w:noProof/>
        </w:rPr>
        <w:fldChar w:fldCharType="end"/>
      </w:r>
      <w:bookmarkEnd w:id="7"/>
      <w:r>
        <w:t xml:space="preserve">. </w:t>
      </w:r>
      <w:r w:rsidR="001B5D73">
        <w:t>S</w:t>
      </w:r>
      <w:r w:rsidR="001B5D73" w:rsidRPr="00AA250B">
        <w:t>pecific fuel oil consumption</w:t>
      </w:r>
      <w:r w:rsidR="001B5D73">
        <w:t xml:space="preserve"> by engine and fuel types (g fuels/kWh operation)</w:t>
      </w:r>
      <w:r w:rsidRPr="002F4B80">
        <w:t xml:space="preserve"> </w:t>
      </w:r>
      <w:r w:rsidR="00454492">
        <w:fldChar w:fldCharType="begin"/>
      </w:r>
      <w:r w:rsidR="0088734B">
        <w:instrText xml:space="preserve"> ADDIN ZOTERO_ITEM CSL_CITATION {"citationID":"NSskQsWZ","properties":{"formattedCitation":"[14]","plainCitation":"[14]","noteIndex":0},"citationItems":[{"id":3059,"uris":["http://zotero.org/users/2367688/items/SMKLAFJ2"],"uri":["http://zotero.org/users/2367688/items/SMKLAFJ2"],"itemData":{"id":3059,"type":"report","title":"Third IMO Greenhouse Gas Study 2014","publisher-place":"Suffolk, UK","source":"Google Scholar","event-place":"Suffolk, UK","URL":"http://www.imo.org/en/OurWork/Environment/PollutionPrevention/AirPollution/Documents/Third%20Greenhouse%20Gas%20Study/GHG3%20Executive%20Summary%20and%20Report.pdf","author":[{"literal":"IMO"}],"issued":{"date-parts":[["2015"]]},"accessed":{"date-parts":[["2018",12,5]]}}}],"schema":"https://github.com/citation-style-language/schema/raw/master/csl-citation.json"} </w:instrText>
      </w:r>
      <w:r w:rsidR="00454492">
        <w:fldChar w:fldCharType="separate"/>
      </w:r>
      <w:r w:rsidR="0088734B" w:rsidRPr="0088734B">
        <w:rPr>
          <w:rFonts w:cs="Times New Roman"/>
        </w:rPr>
        <w:t>[14]</w:t>
      </w:r>
      <w:r w:rsidR="00454492">
        <w:fldChar w:fldCharType="end"/>
      </w:r>
    </w:p>
    <w:tbl>
      <w:tblPr>
        <w:tblW w:w="5000" w:type="pct"/>
        <w:tblLook w:val="04A0" w:firstRow="1" w:lastRow="0" w:firstColumn="1" w:lastColumn="0" w:noHBand="0" w:noVBand="1"/>
      </w:tblPr>
      <w:tblGrid>
        <w:gridCol w:w="2790"/>
        <w:gridCol w:w="2190"/>
        <w:gridCol w:w="2190"/>
        <w:gridCol w:w="2190"/>
      </w:tblGrid>
      <w:tr w:rsidR="00F1694E" w:rsidRPr="002F4B80" w14:paraId="786150D5" w14:textId="77777777" w:rsidTr="00454492">
        <w:trPr>
          <w:trHeight w:val="20"/>
        </w:trPr>
        <w:tc>
          <w:tcPr>
            <w:tcW w:w="1490" w:type="pct"/>
            <w:tcBorders>
              <w:top w:val="single" w:sz="4" w:space="0" w:color="auto"/>
              <w:bottom w:val="nil"/>
              <w:right w:val="nil"/>
            </w:tcBorders>
            <w:shd w:val="clear" w:color="auto" w:fill="auto"/>
            <w:noWrap/>
            <w:vAlign w:val="bottom"/>
            <w:hideMark/>
          </w:tcPr>
          <w:p w14:paraId="215FF625" w14:textId="77777777" w:rsidR="00F1694E" w:rsidRPr="002F4B80" w:rsidRDefault="00F1694E" w:rsidP="000F1A32">
            <w:pPr>
              <w:spacing w:after="0" w:line="240" w:lineRule="auto"/>
              <w:jc w:val="left"/>
              <w:rPr>
                <w:rFonts w:eastAsia="Times New Roman" w:cs="Times New Roman"/>
                <w:b/>
                <w:bCs/>
                <w:sz w:val="18"/>
                <w:szCs w:val="18"/>
              </w:rPr>
            </w:pPr>
            <w:r w:rsidRPr="002F4B80">
              <w:rPr>
                <w:rFonts w:eastAsia="Times New Roman" w:cs="Times New Roman"/>
                <w:b/>
                <w:bCs/>
                <w:sz w:val="18"/>
                <w:szCs w:val="18"/>
              </w:rPr>
              <w:t>Main engine</w:t>
            </w:r>
          </w:p>
        </w:tc>
        <w:tc>
          <w:tcPr>
            <w:tcW w:w="1170" w:type="pct"/>
            <w:tcBorders>
              <w:top w:val="single" w:sz="4" w:space="0" w:color="auto"/>
              <w:bottom w:val="nil"/>
            </w:tcBorders>
            <w:vAlign w:val="bottom"/>
          </w:tcPr>
          <w:p w14:paraId="3538C4FD" w14:textId="000BDD62"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HFO</w:t>
            </w:r>
          </w:p>
        </w:tc>
        <w:tc>
          <w:tcPr>
            <w:tcW w:w="1170" w:type="pct"/>
            <w:tcBorders>
              <w:top w:val="single" w:sz="4" w:space="0" w:color="auto"/>
              <w:left w:val="nil"/>
              <w:bottom w:val="nil"/>
              <w:right w:val="nil"/>
            </w:tcBorders>
            <w:shd w:val="clear" w:color="auto" w:fill="auto"/>
            <w:noWrap/>
            <w:vAlign w:val="bottom"/>
            <w:hideMark/>
          </w:tcPr>
          <w:p w14:paraId="7972B93D" w14:textId="4E059D7A"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MGO/MDO</w:t>
            </w:r>
          </w:p>
        </w:tc>
        <w:tc>
          <w:tcPr>
            <w:tcW w:w="1170" w:type="pct"/>
            <w:tcBorders>
              <w:top w:val="single" w:sz="4" w:space="0" w:color="auto"/>
              <w:left w:val="nil"/>
              <w:bottom w:val="nil"/>
              <w:right w:val="nil"/>
            </w:tcBorders>
            <w:shd w:val="clear" w:color="auto" w:fill="auto"/>
            <w:noWrap/>
            <w:vAlign w:val="bottom"/>
            <w:hideMark/>
          </w:tcPr>
          <w:p w14:paraId="4CF89B0E"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LNG</w:t>
            </w:r>
          </w:p>
        </w:tc>
      </w:tr>
      <w:tr w:rsidR="00F1694E" w:rsidRPr="002F4B80" w14:paraId="02B05C01" w14:textId="77777777" w:rsidTr="00454492">
        <w:trPr>
          <w:trHeight w:val="20"/>
        </w:trPr>
        <w:tc>
          <w:tcPr>
            <w:tcW w:w="1490" w:type="pct"/>
            <w:tcBorders>
              <w:top w:val="single" w:sz="4" w:space="0" w:color="auto"/>
              <w:bottom w:val="nil"/>
              <w:right w:val="nil"/>
            </w:tcBorders>
            <w:shd w:val="clear" w:color="auto" w:fill="auto"/>
            <w:noWrap/>
            <w:vAlign w:val="bottom"/>
            <w:hideMark/>
          </w:tcPr>
          <w:p w14:paraId="4866F909"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SSD</w:t>
            </w:r>
          </w:p>
        </w:tc>
        <w:tc>
          <w:tcPr>
            <w:tcW w:w="1170" w:type="pct"/>
            <w:tcBorders>
              <w:top w:val="single" w:sz="4" w:space="0" w:color="auto"/>
              <w:bottom w:val="nil"/>
            </w:tcBorders>
            <w:vAlign w:val="bottom"/>
          </w:tcPr>
          <w:p w14:paraId="720F06B9" w14:textId="2F779F14"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195.0</w:t>
            </w:r>
          </w:p>
        </w:tc>
        <w:tc>
          <w:tcPr>
            <w:tcW w:w="1170" w:type="pct"/>
            <w:tcBorders>
              <w:top w:val="single" w:sz="4" w:space="0" w:color="auto"/>
              <w:left w:val="nil"/>
              <w:bottom w:val="nil"/>
              <w:right w:val="nil"/>
            </w:tcBorders>
            <w:shd w:val="clear" w:color="auto" w:fill="auto"/>
            <w:noWrap/>
            <w:vAlign w:val="bottom"/>
            <w:hideMark/>
          </w:tcPr>
          <w:p w14:paraId="316C9946" w14:textId="1FCDC969"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185.0</w:t>
            </w:r>
          </w:p>
        </w:tc>
        <w:tc>
          <w:tcPr>
            <w:tcW w:w="1170" w:type="pct"/>
            <w:tcBorders>
              <w:top w:val="single" w:sz="4" w:space="0" w:color="auto"/>
              <w:left w:val="nil"/>
              <w:bottom w:val="nil"/>
              <w:right w:val="nil"/>
            </w:tcBorders>
            <w:shd w:val="clear" w:color="auto" w:fill="auto"/>
            <w:noWrap/>
            <w:vAlign w:val="bottom"/>
            <w:hideMark/>
          </w:tcPr>
          <w:p w14:paraId="0AAF5083"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 </w:t>
            </w:r>
          </w:p>
        </w:tc>
      </w:tr>
      <w:tr w:rsidR="00F1694E" w:rsidRPr="002F4B80" w14:paraId="6D8B5E7F" w14:textId="77777777" w:rsidTr="00454492">
        <w:trPr>
          <w:trHeight w:val="20"/>
        </w:trPr>
        <w:tc>
          <w:tcPr>
            <w:tcW w:w="1490" w:type="pct"/>
            <w:tcBorders>
              <w:top w:val="nil"/>
              <w:bottom w:val="nil"/>
              <w:right w:val="nil"/>
            </w:tcBorders>
            <w:shd w:val="clear" w:color="auto" w:fill="auto"/>
            <w:noWrap/>
            <w:vAlign w:val="bottom"/>
            <w:hideMark/>
          </w:tcPr>
          <w:p w14:paraId="42C63E7F"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MSD</w:t>
            </w:r>
          </w:p>
        </w:tc>
        <w:tc>
          <w:tcPr>
            <w:tcW w:w="1170" w:type="pct"/>
            <w:tcBorders>
              <w:top w:val="nil"/>
              <w:bottom w:val="nil"/>
            </w:tcBorders>
            <w:vAlign w:val="bottom"/>
          </w:tcPr>
          <w:p w14:paraId="22BFE285" w14:textId="1B1E8FBE"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215.0</w:t>
            </w:r>
          </w:p>
        </w:tc>
        <w:tc>
          <w:tcPr>
            <w:tcW w:w="1170" w:type="pct"/>
            <w:tcBorders>
              <w:top w:val="nil"/>
              <w:left w:val="nil"/>
              <w:bottom w:val="nil"/>
              <w:right w:val="nil"/>
            </w:tcBorders>
            <w:shd w:val="clear" w:color="auto" w:fill="auto"/>
            <w:noWrap/>
            <w:vAlign w:val="bottom"/>
            <w:hideMark/>
          </w:tcPr>
          <w:p w14:paraId="4A586774" w14:textId="0F098E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205.0</w:t>
            </w:r>
          </w:p>
        </w:tc>
        <w:tc>
          <w:tcPr>
            <w:tcW w:w="1170" w:type="pct"/>
            <w:tcBorders>
              <w:top w:val="nil"/>
              <w:left w:val="nil"/>
              <w:bottom w:val="nil"/>
              <w:right w:val="nil"/>
            </w:tcBorders>
            <w:shd w:val="clear" w:color="auto" w:fill="auto"/>
            <w:noWrap/>
            <w:vAlign w:val="bottom"/>
            <w:hideMark/>
          </w:tcPr>
          <w:p w14:paraId="6F0D5539" w14:textId="77777777" w:rsidR="00F1694E" w:rsidRPr="002F4B80" w:rsidRDefault="00F1694E" w:rsidP="000F1A32">
            <w:pPr>
              <w:spacing w:after="0" w:line="240" w:lineRule="auto"/>
              <w:jc w:val="right"/>
              <w:rPr>
                <w:rFonts w:eastAsia="Times New Roman" w:cs="Times New Roman"/>
                <w:sz w:val="18"/>
                <w:szCs w:val="18"/>
              </w:rPr>
            </w:pPr>
          </w:p>
        </w:tc>
      </w:tr>
      <w:tr w:rsidR="00F1694E" w:rsidRPr="002F4B80" w14:paraId="0FD77FBD" w14:textId="77777777" w:rsidTr="00454492">
        <w:trPr>
          <w:trHeight w:val="20"/>
        </w:trPr>
        <w:tc>
          <w:tcPr>
            <w:tcW w:w="1490" w:type="pct"/>
            <w:tcBorders>
              <w:top w:val="nil"/>
              <w:bottom w:val="nil"/>
              <w:right w:val="nil"/>
            </w:tcBorders>
            <w:shd w:val="clear" w:color="auto" w:fill="auto"/>
            <w:noWrap/>
            <w:vAlign w:val="bottom"/>
            <w:hideMark/>
          </w:tcPr>
          <w:p w14:paraId="16B51278"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ST</w:t>
            </w:r>
          </w:p>
        </w:tc>
        <w:tc>
          <w:tcPr>
            <w:tcW w:w="1170" w:type="pct"/>
            <w:tcBorders>
              <w:top w:val="nil"/>
              <w:bottom w:val="nil"/>
            </w:tcBorders>
            <w:vAlign w:val="bottom"/>
          </w:tcPr>
          <w:p w14:paraId="5EB04971" w14:textId="7E7D3ED1"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305.0</w:t>
            </w:r>
          </w:p>
        </w:tc>
        <w:tc>
          <w:tcPr>
            <w:tcW w:w="1170" w:type="pct"/>
            <w:tcBorders>
              <w:top w:val="nil"/>
              <w:left w:val="nil"/>
              <w:bottom w:val="nil"/>
              <w:right w:val="nil"/>
            </w:tcBorders>
            <w:shd w:val="clear" w:color="auto" w:fill="auto"/>
            <w:noWrap/>
            <w:vAlign w:val="bottom"/>
            <w:hideMark/>
          </w:tcPr>
          <w:p w14:paraId="3B924176" w14:textId="4BCB972B"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300.0</w:t>
            </w:r>
          </w:p>
        </w:tc>
        <w:tc>
          <w:tcPr>
            <w:tcW w:w="1170" w:type="pct"/>
            <w:tcBorders>
              <w:top w:val="nil"/>
              <w:left w:val="nil"/>
              <w:bottom w:val="nil"/>
              <w:right w:val="nil"/>
            </w:tcBorders>
            <w:shd w:val="clear" w:color="auto" w:fill="auto"/>
            <w:noWrap/>
            <w:vAlign w:val="bottom"/>
            <w:hideMark/>
          </w:tcPr>
          <w:p w14:paraId="3D01F9C3" w14:textId="77777777" w:rsidR="00F1694E" w:rsidRPr="002F4B80" w:rsidRDefault="00F1694E" w:rsidP="000F1A32">
            <w:pPr>
              <w:spacing w:after="0" w:line="240" w:lineRule="auto"/>
              <w:jc w:val="right"/>
              <w:rPr>
                <w:rFonts w:eastAsia="Times New Roman" w:cs="Times New Roman"/>
                <w:sz w:val="18"/>
                <w:szCs w:val="18"/>
              </w:rPr>
            </w:pPr>
          </w:p>
        </w:tc>
      </w:tr>
      <w:tr w:rsidR="00F1694E" w:rsidRPr="002F4B80" w14:paraId="3B74A502" w14:textId="77777777" w:rsidTr="00454492">
        <w:trPr>
          <w:trHeight w:val="20"/>
        </w:trPr>
        <w:tc>
          <w:tcPr>
            <w:tcW w:w="1490" w:type="pct"/>
            <w:tcBorders>
              <w:top w:val="nil"/>
              <w:bottom w:val="nil"/>
              <w:right w:val="nil"/>
            </w:tcBorders>
            <w:shd w:val="clear" w:color="auto" w:fill="auto"/>
            <w:noWrap/>
            <w:vAlign w:val="bottom"/>
            <w:hideMark/>
          </w:tcPr>
          <w:p w14:paraId="594C3D97"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GT</w:t>
            </w:r>
          </w:p>
        </w:tc>
        <w:tc>
          <w:tcPr>
            <w:tcW w:w="1170" w:type="pct"/>
            <w:tcBorders>
              <w:top w:val="nil"/>
              <w:bottom w:val="nil"/>
            </w:tcBorders>
            <w:vAlign w:val="bottom"/>
          </w:tcPr>
          <w:p w14:paraId="58F8B33A" w14:textId="25DFCD1E"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305.0</w:t>
            </w:r>
          </w:p>
        </w:tc>
        <w:tc>
          <w:tcPr>
            <w:tcW w:w="1170" w:type="pct"/>
            <w:tcBorders>
              <w:top w:val="nil"/>
              <w:left w:val="nil"/>
              <w:bottom w:val="nil"/>
              <w:right w:val="nil"/>
            </w:tcBorders>
            <w:shd w:val="clear" w:color="auto" w:fill="auto"/>
            <w:noWrap/>
            <w:vAlign w:val="bottom"/>
            <w:hideMark/>
          </w:tcPr>
          <w:p w14:paraId="5CE3B214" w14:textId="4749DD8A"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300.0</w:t>
            </w:r>
          </w:p>
        </w:tc>
        <w:tc>
          <w:tcPr>
            <w:tcW w:w="1170" w:type="pct"/>
            <w:tcBorders>
              <w:top w:val="nil"/>
              <w:left w:val="nil"/>
              <w:bottom w:val="nil"/>
              <w:right w:val="nil"/>
            </w:tcBorders>
            <w:shd w:val="clear" w:color="auto" w:fill="auto"/>
            <w:noWrap/>
            <w:vAlign w:val="bottom"/>
            <w:hideMark/>
          </w:tcPr>
          <w:p w14:paraId="2507E8A4" w14:textId="77777777" w:rsidR="00F1694E" w:rsidRPr="002F4B80" w:rsidRDefault="00F1694E" w:rsidP="000F1A32">
            <w:pPr>
              <w:spacing w:after="0" w:line="240" w:lineRule="auto"/>
              <w:jc w:val="right"/>
              <w:rPr>
                <w:rFonts w:eastAsia="Times New Roman" w:cs="Times New Roman"/>
                <w:sz w:val="18"/>
                <w:szCs w:val="18"/>
              </w:rPr>
            </w:pPr>
          </w:p>
        </w:tc>
      </w:tr>
      <w:tr w:rsidR="00F1694E" w:rsidRPr="002F4B80" w14:paraId="27E1408E" w14:textId="77777777" w:rsidTr="00454492">
        <w:trPr>
          <w:trHeight w:val="20"/>
        </w:trPr>
        <w:tc>
          <w:tcPr>
            <w:tcW w:w="1490" w:type="pct"/>
            <w:tcBorders>
              <w:top w:val="nil"/>
              <w:bottom w:val="nil"/>
              <w:right w:val="nil"/>
            </w:tcBorders>
            <w:shd w:val="clear" w:color="auto" w:fill="auto"/>
            <w:noWrap/>
            <w:vAlign w:val="bottom"/>
            <w:hideMark/>
          </w:tcPr>
          <w:p w14:paraId="04EB17DF"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LNG</w:t>
            </w:r>
          </w:p>
        </w:tc>
        <w:tc>
          <w:tcPr>
            <w:tcW w:w="1170" w:type="pct"/>
            <w:tcBorders>
              <w:top w:val="nil"/>
              <w:bottom w:val="nil"/>
            </w:tcBorders>
            <w:vAlign w:val="bottom"/>
          </w:tcPr>
          <w:p w14:paraId="2BE9E6CA" w14:textId="77777777" w:rsidR="00F1694E" w:rsidRPr="002F4B80" w:rsidRDefault="00F1694E" w:rsidP="000F1A32">
            <w:pPr>
              <w:spacing w:after="0" w:line="240" w:lineRule="auto"/>
              <w:jc w:val="right"/>
              <w:rPr>
                <w:rFonts w:eastAsia="Times New Roman" w:cs="Times New Roman"/>
                <w:sz w:val="18"/>
                <w:szCs w:val="18"/>
              </w:rPr>
            </w:pPr>
          </w:p>
        </w:tc>
        <w:tc>
          <w:tcPr>
            <w:tcW w:w="1170" w:type="pct"/>
            <w:tcBorders>
              <w:top w:val="nil"/>
              <w:left w:val="nil"/>
              <w:bottom w:val="nil"/>
              <w:right w:val="nil"/>
            </w:tcBorders>
            <w:shd w:val="clear" w:color="auto" w:fill="auto"/>
            <w:noWrap/>
            <w:vAlign w:val="bottom"/>
            <w:hideMark/>
          </w:tcPr>
          <w:p w14:paraId="49FF66D4" w14:textId="5726D462" w:rsidR="00F1694E" w:rsidRPr="002F4B80" w:rsidRDefault="00F1694E" w:rsidP="000F1A32">
            <w:pPr>
              <w:spacing w:after="0" w:line="240" w:lineRule="auto"/>
              <w:jc w:val="right"/>
              <w:rPr>
                <w:rFonts w:eastAsia="Times New Roman" w:cs="Times New Roman"/>
                <w:sz w:val="18"/>
                <w:szCs w:val="18"/>
              </w:rPr>
            </w:pPr>
          </w:p>
        </w:tc>
        <w:tc>
          <w:tcPr>
            <w:tcW w:w="1170" w:type="pct"/>
            <w:tcBorders>
              <w:top w:val="nil"/>
              <w:left w:val="nil"/>
              <w:bottom w:val="nil"/>
              <w:right w:val="nil"/>
            </w:tcBorders>
            <w:shd w:val="clear" w:color="auto" w:fill="auto"/>
            <w:noWrap/>
            <w:vAlign w:val="bottom"/>
            <w:hideMark/>
          </w:tcPr>
          <w:p w14:paraId="5EE23A3E"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166.0</w:t>
            </w:r>
          </w:p>
        </w:tc>
      </w:tr>
      <w:tr w:rsidR="00F1694E" w:rsidRPr="002F4B80" w14:paraId="33512074" w14:textId="77777777" w:rsidTr="00454492">
        <w:trPr>
          <w:trHeight w:val="20"/>
        </w:trPr>
        <w:tc>
          <w:tcPr>
            <w:tcW w:w="1490" w:type="pct"/>
            <w:tcBorders>
              <w:top w:val="single" w:sz="4" w:space="0" w:color="auto"/>
              <w:bottom w:val="single" w:sz="4" w:space="0" w:color="auto"/>
              <w:right w:val="nil"/>
            </w:tcBorders>
            <w:shd w:val="clear" w:color="auto" w:fill="auto"/>
            <w:noWrap/>
            <w:vAlign w:val="bottom"/>
            <w:hideMark/>
          </w:tcPr>
          <w:p w14:paraId="07764DDF" w14:textId="77777777" w:rsidR="00F1694E" w:rsidRPr="002F4B80" w:rsidRDefault="00F1694E" w:rsidP="000F1A32">
            <w:pPr>
              <w:spacing w:after="0" w:line="240" w:lineRule="auto"/>
              <w:jc w:val="left"/>
              <w:rPr>
                <w:rFonts w:eastAsia="Times New Roman" w:cs="Times New Roman"/>
                <w:b/>
                <w:bCs/>
                <w:sz w:val="18"/>
                <w:szCs w:val="18"/>
              </w:rPr>
            </w:pPr>
            <w:r w:rsidRPr="002F4B80">
              <w:rPr>
                <w:rFonts w:eastAsia="Times New Roman" w:cs="Times New Roman"/>
                <w:b/>
                <w:bCs/>
                <w:sz w:val="18"/>
                <w:szCs w:val="18"/>
              </w:rPr>
              <w:t>Aux engine</w:t>
            </w:r>
          </w:p>
        </w:tc>
        <w:tc>
          <w:tcPr>
            <w:tcW w:w="1170" w:type="pct"/>
            <w:tcBorders>
              <w:top w:val="single" w:sz="4" w:space="0" w:color="auto"/>
              <w:bottom w:val="single" w:sz="4" w:space="0" w:color="auto"/>
            </w:tcBorders>
            <w:vAlign w:val="bottom"/>
          </w:tcPr>
          <w:p w14:paraId="1FD0C34B" w14:textId="2A5C6A34"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HFO</w:t>
            </w:r>
          </w:p>
        </w:tc>
        <w:tc>
          <w:tcPr>
            <w:tcW w:w="1170" w:type="pct"/>
            <w:tcBorders>
              <w:top w:val="single" w:sz="4" w:space="0" w:color="auto"/>
              <w:left w:val="nil"/>
              <w:bottom w:val="single" w:sz="4" w:space="0" w:color="auto"/>
              <w:right w:val="nil"/>
            </w:tcBorders>
            <w:shd w:val="clear" w:color="auto" w:fill="auto"/>
            <w:noWrap/>
            <w:vAlign w:val="bottom"/>
            <w:hideMark/>
          </w:tcPr>
          <w:p w14:paraId="60962606" w14:textId="5012E719"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MGO/MDO</w:t>
            </w:r>
          </w:p>
        </w:tc>
        <w:tc>
          <w:tcPr>
            <w:tcW w:w="1170" w:type="pct"/>
            <w:tcBorders>
              <w:top w:val="single" w:sz="4" w:space="0" w:color="auto"/>
              <w:left w:val="nil"/>
              <w:bottom w:val="single" w:sz="4" w:space="0" w:color="auto"/>
              <w:right w:val="nil"/>
            </w:tcBorders>
            <w:shd w:val="clear" w:color="auto" w:fill="auto"/>
            <w:noWrap/>
            <w:vAlign w:val="bottom"/>
            <w:hideMark/>
          </w:tcPr>
          <w:p w14:paraId="03A385D0" w14:textId="77777777" w:rsidR="00F1694E" w:rsidRPr="002F4B80" w:rsidRDefault="00F1694E" w:rsidP="000F1A32">
            <w:pPr>
              <w:spacing w:after="0" w:line="240" w:lineRule="auto"/>
              <w:jc w:val="left"/>
              <w:rPr>
                <w:rFonts w:eastAsia="Times New Roman" w:cs="Times New Roman"/>
                <w:sz w:val="18"/>
                <w:szCs w:val="18"/>
              </w:rPr>
            </w:pPr>
            <w:r w:rsidRPr="002F4B80">
              <w:rPr>
                <w:rFonts w:eastAsia="Times New Roman" w:cs="Times New Roman"/>
                <w:sz w:val="18"/>
                <w:szCs w:val="18"/>
              </w:rPr>
              <w:t> </w:t>
            </w:r>
          </w:p>
        </w:tc>
      </w:tr>
      <w:tr w:rsidR="00F1694E" w:rsidRPr="002F4B80" w14:paraId="5C827539" w14:textId="77777777" w:rsidTr="00454492">
        <w:trPr>
          <w:trHeight w:val="20"/>
        </w:trPr>
        <w:tc>
          <w:tcPr>
            <w:tcW w:w="1490" w:type="pct"/>
            <w:tcBorders>
              <w:top w:val="nil"/>
              <w:bottom w:val="nil"/>
              <w:right w:val="nil"/>
            </w:tcBorders>
            <w:shd w:val="clear" w:color="auto" w:fill="auto"/>
            <w:noWrap/>
            <w:vAlign w:val="bottom"/>
            <w:hideMark/>
          </w:tcPr>
          <w:p w14:paraId="4A56DC34"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HSD</w:t>
            </w:r>
          </w:p>
        </w:tc>
        <w:tc>
          <w:tcPr>
            <w:tcW w:w="1170" w:type="pct"/>
            <w:tcBorders>
              <w:top w:val="nil"/>
              <w:bottom w:val="nil"/>
            </w:tcBorders>
            <w:vAlign w:val="bottom"/>
          </w:tcPr>
          <w:p w14:paraId="190FEDBC" w14:textId="6855CDDB"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227.0</w:t>
            </w:r>
          </w:p>
        </w:tc>
        <w:tc>
          <w:tcPr>
            <w:tcW w:w="1170" w:type="pct"/>
            <w:tcBorders>
              <w:top w:val="nil"/>
              <w:left w:val="nil"/>
              <w:bottom w:val="nil"/>
              <w:right w:val="nil"/>
            </w:tcBorders>
            <w:shd w:val="clear" w:color="auto" w:fill="auto"/>
            <w:noWrap/>
            <w:vAlign w:val="bottom"/>
            <w:hideMark/>
          </w:tcPr>
          <w:p w14:paraId="014A9D79" w14:textId="16266402"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217.0</w:t>
            </w:r>
          </w:p>
        </w:tc>
        <w:tc>
          <w:tcPr>
            <w:tcW w:w="1170" w:type="pct"/>
            <w:tcBorders>
              <w:top w:val="nil"/>
              <w:left w:val="nil"/>
              <w:bottom w:val="nil"/>
              <w:right w:val="nil"/>
            </w:tcBorders>
            <w:shd w:val="clear" w:color="auto" w:fill="auto"/>
            <w:noWrap/>
            <w:vAlign w:val="bottom"/>
            <w:hideMark/>
          </w:tcPr>
          <w:p w14:paraId="4381901D" w14:textId="77777777" w:rsidR="00F1694E" w:rsidRPr="002F4B80" w:rsidRDefault="00F1694E" w:rsidP="000F1A32">
            <w:pPr>
              <w:spacing w:after="0" w:line="240" w:lineRule="auto"/>
              <w:jc w:val="right"/>
              <w:rPr>
                <w:rFonts w:eastAsia="Times New Roman" w:cs="Times New Roman"/>
                <w:sz w:val="18"/>
                <w:szCs w:val="18"/>
              </w:rPr>
            </w:pPr>
          </w:p>
        </w:tc>
      </w:tr>
      <w:tr w:rsidR="00F1694E" w:rsidRPr="002F4B80" w14:paraId="31C1DE1E" w14:textId="77777777" w:rsidTr="00454492">
        <w:trPr>
          <w:trHeight w:val="20"/>
        </w:trPr>
        <w:tc>
          <w:tcPr>
            <w:tcW w:w="1490" w:type="pct"/>
            <w:tcBorders>
              <w:top w:val="nil"/>
              <w:bottom w:val="nil"/>
              <w:right w:val="nil"/>
            </w:tcBorders>
            <w:shd w:val="clear" w:color="auto" w:fill="auto"/>
            <w:noWrap/>
            <w:vAlign w:val="bottom"/>
            <w:hideMark/>
          </w:tcPr>
          <w:p w14:paraId="13D7F536"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MSD</w:t>
            </w:r>
          </w:p>
        </w:tc>
        <w:tc>
          <w:tcPr>
            <w:tcW w:w="1170" w:type="pct"/>
            <w:tcBorders>
              <w:top w:val="nil"/>
              <w:bottom w:val="nil"/>
            </w:tcBorders>
            <w:vAlign w:val="bottom"/>
          </w:tcPr>
          <w:p w14:paraId="4DDC66FD" w14:textId="3EC72E70"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227.0</w:t>
            </w:r>
          </w:p>
        </w:tc>
        <w:tc>
          <w:tcPr>
            <w:tcW w:w="1170" w:type="pct"/>
            <w:tcBorders>
              <w:top w:val="nil"/>
              <w:left w:val="nil"/>
              <w:bottom w:val="nil"/>
              <w:right w:val="nil"/>
            </w:tcBorders>
            <w:shd w:val="clear" w:color="auto" w:fill="auto"/>
            <w:noWrap/>
            <w:vAlign w:val="bottom"/>
            <w:hideMark/>
          </w:tcPr>
          <w:p w14:paraId="5EE6C280" w14:textId="37279384"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217.0</w:t>
            </w:r>
          </w:p>
        </w:tc>
        <w:tc>
          <w:tcPr>
            <w:tcW w:w="1170" w:type="pct"/>
            <w:tcBorders>
              <w:top w:val="nil"/>
              <w:left w:val="nil"/>
              <w:bottom w:val="nil"/>
              <w:right w:val="nil"/>
            </w:tcBorders>
            <w:shd w:val="clear" w:color="auto" w:fill="auto"/>
            <w:noWrap/>
            <w:vAlign w:val="bottom"/>
            <w:hideMark/>
          </w:tcPr>
          <w:p w14:paraId="586B91B6" w14:textId="77777777" w:rsidR="00F1694E" w:rsidRPr="002F4B80" w:rsidRDefault="00F1694E" w:rsidP="000F1A32">
            <w:pPr>
              <w:spacing w:after="0" w:line="240" w:lineRule="auto"/>
              <w:jc w:val="right"/>
              <w:rPr>
                <w:rFonts w:eastAsia="Times New Roman" w:cs="Times New Roman"/>
                <w:sz w:val="18"/>
                <w:szCs w:val="18"/>
              </w:rPr>
            </w:pPr>
          </w:p>
        </w:tc>
      </w:tr>
      <w:tr w:rsidR="00F1694E" w:rsidRPr="002F4B80" w14:paraId="63D74D2D" w14:textId="77777777" w:rsidTr="00454492">
        <w:trPr>
          <w:trHeight w:val="20"/>
        </w:trPr>
        <w:tc>
          <w:tcPr>
            <w:tcW w:w="1490" w:type="pct"/>
            <w:tcBorders>
              <w:top w:val="nil"/>
              <w:bottom w:val="single" w:sz="4" w:space="0" w:color="auto"/>
              <w:right w:val="nil"/>
            </w:tcBorders>
            <w:shd w:val="clear" w:color="auto" w:fill="auto"/>
            <w:noWrap/>
            <w:vAlign w:val="bottom"/>
            <w:hideMark/>
          </w:tcPr>
          <w:p w14:paraId="7572E70F"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LNG</w:t>
            </w:r>
          </w:p>
        </w:tc>
        <w:tc>
          <w:tcPr>
            <w:tcW w:w="1170" w:type="pct"/>
            <w:tcBorders>
              <w:top w:val="nil"/>
              <w:bottom w:val="single" w:sz="4" w:space="0" w:color="auto"/>
            </w:tcBorders>
            <w:vAlign w:val="bottom"/>
          </w:tcPr>
          <w:p w14:paraId="78092E60" w14:textId="7A4D5D65" w:rsidR="00F1694E" w:rsidRPr="002F4B80" w:rsidRDefault="00F1694E" w:rsidP="000F1A32">
            <w:pPr>
              <w:spacing w:after="0" w:line="240" w:lineRule="auto"/>
              <w:jc w:val="left"/>
              <w:rPr>
                <w:rFonts w:eastAsia="Times New Roman" w:cs="Times New Roman"/>
                <w:sz w:val="18"/>
                <w:szCs w:val="18"/>
              </w:rPr>
            </w:pPr>
            <w:r w:rsidRPr="002F4B80">
              <w:rPr>
                <w:rFonts w:eastAsia="Times New Roman" w:cs="Times New Roman"/>
                <w:sz w:val="18"/>
                <w:szCs w:val="18"/>
              </w:rPr>
              <w:t> </w:t>
            </w:r>
          </w:p>
        </w:tc>
        <w:tc>
          <w:tcPr>
            <w:tcW w:w="1170" w:type="pct"/>
            <w:tcBorders>
              <w:top w:val="nil"/>
              <w:left w:val="nil"/>
              <w:bottom w:val="single" w:sz="4" w:space="0" w:color="auto"/>
              <w:right w:val="nil"/>
            </w:tcBorders>
            <w:shd w:val="clear" w:color="auto" w:fill="auto"/>
            <w:noWrap/>
            <w:vAlign w:val="bottom"/>
            <w:hideMark/>
          </w:tcPr>
          <w:p w14:paraId="54171333" w14:textId="7C77741A" w:rsidR="00F1694E" w:rsidRPr="002F4B80" w:rsidRDefault="00F1694E" w:rsidP="000F1A32">
            <w:pPr>
              <w:spacing w:after="0" w:line="240" w:lineRule="auto"/>
              <w:jc w:val="left"/>
              <w:rPr>
                <w:rFonts w:eastAsia="Times New Roman" w:cs="Times New Roman"/>
                <w:sz w:val="18"/>
                <w:szCs w:val="18"/>
              </w:rPr>
            </w:pPr>
            <w:r w:rsidRPr="002F4B80">
              <w:rPr>
                <w:rFonts w:eastAsia="Times New Roman" w:cs="Times New Roman"/>
                <w:sz w:val="18"/>
                <w:szCs w:val="18"/>
              </w:rPr>
              <w:t> </w:t>
            </w:r>
          </w:p>
        </w:tc>
        <w:tc>
          <w:tcPr>
            <w:tcW w:w="1170" w:type="pct"/>
            <w:tcBorders>
              <w:top w:val="nil"/>
              <w:left w:val="nil"/>
              <w:bottom w:val="single" w:sz="4" w:space="0" w:color="auto"/>
              <w:right w:val="nil"/>
            </w:tcBorders>
            <w:shd w:val="clear" w:color="auto" w:fill="auto"/>
            <w:noWrap/>
            <w:vAlign w:val="bottom"/>
            <w:hideMark/>
          </w:tcPr>
          <w:p w14:paraId="38099CF6" w14:textId="77777777" w:rsidR="00F1694E" w:rsidRPr="002F4B80" w:rsidRDefault="00F1694E" w:rsidP="000F1A32">
            <w:pPr>
              <w:spacing w:after="0" w:line="240" w:lineRule="auto"/>
              <w:jc w:val="right"/>
              <w:rPr>
                <w:rFonts w:eastAsia="Times New Roman" w:cs="Times New Roman"/>
                <w:sz w:val="18"/>
                <w:szCs w:val="18"/>
              </w:rPr>
            </w:pPr>
            <w:r w:rsidRPr="002F4B80">
              <w:rPr>
                <w:rFonts w:eastAsia="Times New Roman" w:cs="Times New Roman"/>
                <w:sz w:val="18"/>
                <w:szCs w:val="18"/>
              </w:rPr>
              <w:t>166.0</w:t>
            </w:r>
          </w:p>
        </w:tc>
      </w:tr>
    </w:tbl>
    <w:p w14:paraId="087A8D85" w14:textId="56A64D6A" w:rsidR="00077515" w:rsidRDefault="00077515" w:rsidP="000F1A32">
      <w:pPr>
        <w:spacing w:after="0" w:line="240" w:lineRule="auto"/>
      </w:pPr>
    </w:p>
    <w:p w14:paraId="44F4CDB3" w14:textId="77777777" w:rsidR="00925343" w:rsidRDefault="00925343" w:rsidP="000F1A32">
      <w:pPr>
        <w:spacing w:after="0" w:line="240" w:lineRule="auto"/>
      </w:pPr>
    </w:p>
    <w:p w14:paraId="1520750C" w14:textId="4D705152" w:rsidR="003132CC" w:rsidRDefault="00DF5562" w:rsidP="00C51EBD">
      <w:pPr>
        <w:pStyle w:val="Heading2"/>
      </w:pPr>
      <w:r>
        <w:lastRenderedPageBreak/>
        <w:t>Trip</w:t>
      </w:r>
      <w:r w:rsidR="00C12B37">
        <w:t xml:space="preserve"> Characteristics</w:t>
      </w:r>
    </w:p>
    <w:p w14:paraId="59D33CCB" w14:textId="0B3604C7" w:rsidR="00D15482" w:rsidRDefault="00EE5180" w:rsidP="00C93B96">
      <w:pPr>
        <w:spacing w:after="0" w:line="240" w:lineRule="auto"/>
      </w:pPr>
      <w:r>
        <w:t>Various marine vessels are operated to serve different purposes, which incur</w:t>
      </w:r>
      <w:r w:rsidR="00D67864">
        <w:t>s</w:t>
      </w:r>
      <w:r>
        <w:t xml:space="preserve"> different trip profiles. In order to evaluate the WTH emissions of trips, vessel types and corresponding trip characteristics</w:t>
      </w:r>
      <w:r w:rsidR="00F06F93">
        <w:t xml:space="preserve"> should be defined</w:t>
      </w:r>
      <w:r>
        <w:t xml:space="preserve">. Adom et al. </w:t>
      </w:r>
      <w:r>
        <w:fldChar w:fldCharType="begin"/>
      </w:r>
      <w:r>
        <w:instrText xml:space="preserve"> ADDIN ZOTERO_ITEM CSL_CITATION {"citationID":"am3v24grc7","properties":{"formattedCitation":"[2]","plainCitation":"[2]","noteIndex":0},"citationItems":[{"id":3224,"uris":["http://zotero.org/users/2367688/items/MSZWRZTV"],"uri":["http://zotero.org/users/2367688/items/MSZWRZTV"],"itemData":{"id":3224,"type":"article-journal","title":"Life cycle analysis of conventional and alternative marine fuels in GREET","container-title":"Energy Systems Devision. Argonne National Laboratory, Argonne, IL","page":"58","source":"Google Scholar","author":[{"family":"Adom","given":"Felix"},{"family":"Dunn","given":"Jennifer B."},{"family":"Elgowainy","given":"Amgad"},{"family":"Han","given":"Jeongwoo"},{"family":"Wang","given":"Michael"}],"issued":{"date-parts":[["2013"]]}}}],"schema":"https://github.com/citation-style-language/schema/raw/master/csl-citation.json"} </w:instrText>
      </w:r>
      <w:r>
        <w:fldChar w:fldCharType="separate"/>
      </w:r>
      <w:r w:rsidRPr="00EE5180">
        <w:rPr>
          <w:rFonts w:cs="Times New Roman"/>
          <w:szCs w:val="24"/>
        </w:rPr>
        <w:t>[2]</w:t>
      </w:r>
      <w:r>
        <w:fldChar w:fldCharType="end"/>
      </w:r>
      <w:r>
        <w:t xml:space="preserve"> </w:t>
      </w:r>
      <w:r w:rsidR="00F06F93">
        <w:t>characterized</w:t>
      </w:r>
      <w:r>
        <w:t xml:space="preserve"> trips for three vessel types (bulk, container-large, and tanker VLCC [</w:t>
      </w:r>
      <w:r w:rsidRPr="00EE5180">
        <w:t>Very Large Crude Carriers</w:t>
      </w:r>
      <w:r>
        <w:t xml:space="preserve">]) in different regions (Pacific, Atlantic, Gulf of Mexico, Great Lakes, and California waters). </w:t>
      </w:r>
      <w:r w:rsidR="00D15482">
        <w:t>The trip</w:t>
      </w:r>
      <w:r w:rsidR="00823EC7">
        <w:t>s consist</w:t>
      </w:r>
      <w:r w:rsidR="00D15482">
        <w:t xml:space="preserve"> of several segments (hotel, reduced-speed zones [RSZ], cruise)</w:t>
      </w:r>
      <w:r w:rsidR="00823EC7">
        <w:t>, and trip information such as distance, speed, time in mode, load factor</w:t>
      </w:r>
      <w:r w:rsidR="0058586D">
        <w:t>, and payload</w:t>
      </w:r>
      <w:r w:rsidR="00823EC7">
        <w:t xml:space="preserve"> for each segment</w:t>
      </w:r>
      <w:r w:rsidR="00D67864">
        <w:t xml:space="preserve"> were characterized </w:t>
      </w:r>
      <w:r w:rsidR="00D67864">
        <w:fldChar w:fldCharType="begin"/>
      </w:r>
      <w:r w:rsidR="00D67864">
        <w:instrText xml:space="preserve"> ADDIN ZOTERO_ITEM CSL_CITATION {"citationID":"am3v24grc7","properties":{"formattedCitation":"[2]","plainCitation":"[2]","noteIndex":0},"citationItems":[{"id":3224,"uris":["http://zotero.org/users/2367688/items/MSZWRZTV"],"uri":["http://zotero.org/users/2367688/items/MSZWRZTV"],"itemData":{"id":3224,"type":"article-journal","title":"Life cycle analysis of conventional and alternative marine fuels in GREET","container-title":"Energy Systems Devision. Argonne National Laboratory, Argonne, IL","page":"58","source":"Google Scholar","author":[{"family":"Adom","given":"Felix"},{"family":"Dunn","given":"Jennifer B."},{"family":"Elgowainy","given":"Amgad"},{"family":"Han","given":"Jeongwoo"},{"family":"Wang","given":"Michael"}],"issued":{"date-parts":[["2013"]]}}}],"schema":"https://github.com/citation-style-language/schema/raw/master/csl-citation.json"} </w:instrText>
      </w:r>
      <w:r w:rsidR="00D67864">
        <w:fldChar w:fldCharType="separate"/>
      </w:r>
      <w:r w:rsidR="00D67864" w:rsidRPr="00EE5180">
        <w:rPr>
          <w:rFonts w:cs="Times New Roman"/>
          <w:szCs w:val="24"/>
        </w:rPr>
        <w:t>[2]</w:t>
      </w:r>
      <w:r w:rsidR="00D67864">
        <w:fldChar w:fldCharType="end"/>
      </w:r>
      <w:r w:rsidR="00823EC7">
        <w:t xml:space="preserve">. </w:t>
      </w:r>
      <w:r w:rsidR="00F06F93">
        <w:t xml:space="preserve">In this study, we </w:t>
      </w:r>
      <w:r w:rsidR="00D67864">
        <w:t xml:space="preserve">used the trip information by Adom et al. </w:t>
      </w:r>
      <w:r w:rsidR="00D67864">
        <w:fldChar w:fldCharType="begin"/>
      </w:r>
      <w:r w:rsidR="00D67864">
        <w:instrText xml:space="preserve"> ADDIN ZOTERO_ITEM CSL_CITATION {"citationID":"am3v24grc7","properties":{"formattedCitation":"[2]","plainCitation":"[2]","noteIndex":0},"citationItems":[{"id":3224,"uris":["http://zotero.org/users/2367688/items/MSZWRZTV"],"uri":["http://zotero.org/users/2367688/items/MSZWRZTV"],"itemData":{"id":3224,"type":"article-journal","title":"Life cycle analysis of conventional and alternative marine fuels in GREET","container-title":"Energy Systems Devision. Argonne National Laboratory, Argonne, IL","page":"58","source":"Google Scholar","author":[{"family":"Adom","given":"Felix"},{"family":"Dunn","given":"Jennifer B."},{"family":"Elgowainy","given":"Amgad"},{"family":"Han","given":"Jeongwoo"},{"family":"Wang","given":"Michael"}],"issued":{"date-parts":[["2013"]]}}}],"schema":"https://github.com/citation-style-language/schema/raw/master/csl-citation.json"} </w:instrText>
      </w:r>
      <w:r w:rsidR="00D67864">
        <w:fldChar w:fldCharType="separate"/>
      </w:r>
      <w:r w:rsidR="00D67864" w:rsidRPr="00EE5180">
        <w:rPr>
          <w:rFonts w:cs="Times New Roman"/>
          <w:szCs w:val="24"/>
        </w:rPr>
        <w:t>[2]</w:t>
      </w:r>
      <w:r w:rsidR="00D67864">
        <w:fldChar w:fldCharType="end"/>
      </w:r>
      <w:r w:rsidR="00D67864">
        <w:t xml:space="preserve"> to evaluate the WTH GHG and CAP emissions for each trip. Note that we can select different fuels for each trip segment in GREET, which is useful to manage emission profiles. </w:t>
      </w:r>
    </w:p>
    <w:p w14:paraId="6299D799" w14:textId="3E5CF4B8" w:rsidR="00D15F36" w:rsidRDefault="00D15F36" w:rsidP="000F1A32">
      <w:pPr>
        <w:spacing w:after="0" w:line="240" w:lineRule="auto"/>
      </w:pPr>
    </w:p>
    <w:p w14:paraId="0F251E40" w14:textId="77777777" w:rsidR="00C93B96" w:rsidRPr="003132CC" w:rsidRDefault="00C93B96" w:rsidP="000F1A32">
      <w:pPr>
        <w:spacing w:after="0" w:line="240" w:lineRule="auto"/>
      </w:pPr>
    </w:p>
    <w:p w14:paraId="004B4DBB" w14:textId="6A3AC2C0" w:rsidR="00AB7E2B" w:rsidRDefault="00AB7E2B" w:rsidP="00C51EBD">
      <w:pPr>
        <w:pStyle w:val="Heading1"/>
      </w:pPr>
      <w:r>
        <w:t xml:space="preserve">Results and Discussion </w:t>
      </w:r>
    </w:p>
    <w:p w14:paraId="6B4E3ED3" w14:textId="43AA33FB" w:rsidR="00BA2EEB" w:rsidRDefault="00B5596A" w:rsidP="00C51EBD">
      <w:pPr>
        <w:pStyle w:val="Heading2"/>
      </w:pPr>
      <w:r>
        <w:t>Life-cycle GHG and CAP Emissions</w:t>
      </w:r>
    </w:p>
    <w:p w14:paraId="4F8497CA" w14:textId="17D180D6" w:rsidR="00237945" w:rsidRDefault="00B5596A" w:rsidP="000F1A32">
      <w:pPr>
        <w:spacing w:after="0" w:line="240" w:lineRule="auto"/>
      </w:pPr>
      <w:r>
        <w:fldChar w:fldCharType="begin"/>
      </w:r>
      <w:r>
        <w:instrText xml:space="preserve"> REF _Ref18143450 \h </w:instrText>
      </w:r>
      <w:r>
        <w:fldChar w:fldCharType="separate"/>
      </w:r>
      <w:r w:rsidR="00AA250B">
        <w:t xml:space="preserve">Figure </w:t>
      </w:r>
      <w:r w:rsidR="00AA250B">
        <w:rPr>
          <w:noProof/>
        </w:rPr>
        <w:t>2</w:t>
      </w:r>
      <w:r>
        <w:fldChar w:fldCharType="end"/>
      </w:r>
      <w:r>
        <w:t xml:space="preserve"> </w:t>
      </w:r>
      <w:r w:rsidR="00454492">
        <w:t xml:space="preserve">presents </w:t>
      </w:r>
      <w:r w:rsidR="00237945">
        <w:t xml:space="preserve">life-cycle </w:t>
      </w:r>
      <w:r>
        <w:t>GHG emissions</w:t>
      </w:r>
      <w:r w:rsidR="00237945">
        <w:t xml:space="preserve"> of 19 cases, which include feedstock production and transportation (feedstock), fuel production and fuel transportation (conversion), and fuel use (combustion); for biomass-derived fuels, biogenic carbon uptake emissions are considered as emission credits. The sum of these stages becomes WTH GHG emissions. The </w:t>
      </w:r>
      <w:r w:rsidR="005A2ABF">
        <w:t>functional unit is MJ of marine fuel produced and utilized</w:t>
      </w:r>
      <w:r w:rsidR="00BE1255">
        <w:t>, and th</w:t>
      </w:r>
      <w:r w:rsidR="0056183B">
        <w:t xml:space="preserve">e values in </w:t>
      </w:r>
      <w:r w:rsidR="0056183B">
        <w:fldChar w:fldCharType="begin"/>
      </w:r>
      <w:r w:rsidR="0056183B">
        <w:instrText xml:space="preserve"> REF _Ref18143450 \h </w:instrText>
      </w:r>
      <w:r w:rsidR="0056183B">
        <w:fldChar w:fldCharType="separate"/>
      </w:r>
      <w:r w:rsidR="00AA250B">
        <w:t xml:space="preserve">Figure </w:t>
      </w:r>
      <w:r w:rsidR="00AA250B">
        <w:rPr>
          <w:noProof/>
        </w:rPr>
        <w:t>2</w:t>
      </w:r>
      <w:r w:rsidR="0056183B">
        <w:fldChar w:fldCharType="end"/>
      </w:r>
      <w:r w:rsidR="0056183B">
        <w:t xml:space="preserve"> present relative differences compared to the baseline HFO (2.7% sulfur). </w:t>
      </w:r>
      <w:r w:rsidR="004028C6">
        <w:t xml:space="preserve">All </w:t>
      </w:r>
      <w:r w:rsidR="00BE1255">
        <w:t xml:space="preserve">diesel </w:t>
      </w:r>
      <w:r w:rsidR="004028C6">
        <w:t xml:space="preserve">results are based on emission factors of MSD </w:t>
      </w:r>
      <w:r w:rsidR="0045160B">
        <w:t>with NOx regulations for Tier 3</w:t>
      </w:r>
      <w:r w:rsidR="004028C6">
        <w:t xml:space="preserve">, while results can be generated using emission factors of other engine types. </w:t>
      </w:r>
    </w:p>
    <w:p w14:paraId="25B88CB1" w14:textId="43EA96C6" w:rsidR="00DF5562" w:rsidRDefault="00950837" w:rsidP="000F1A32">
      <w:pPr>
        <w:spacing w:after="0" w:line="240" w:lineRule="auto"/>
      </w:pPr>
      <w:r>
        <w:rPr>
          <w:noProof/>
          <w:lang w:eastAsia="en-US"/>
        </w:rPr>
        <w:drawing>
          <wp:inline distT="0" distB="0" distL="0" distR="0" wp14:anchorId="19A6FB14" wp14:editId="376E60CC">
            <wp:extent cx="5943600" cy="42208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G_figure2.emf"/>
                    <pic:cNvPicPr/>
                  </pic:nvPicPr>
                  <pic:blipFill>
                    <a:blip r:embed="rId12">
                      <a:extLst>
                        <a:ext uri="{28A0092B-C50C-407E-A947-70E740481C1C}">
                          <a14:useLocalDpi xmlns:a14="http://schemas.microsoft.com/office/drawing/2010/main" val="0"/>
                        </a:ext>
                      </a:extLst>
                    </a:blip>
                    <a:stretch>
                      <a:fillRect/>
                    </a:stretch>
                  </pic:blipFill>
                  <pic:spPr>
                    <a:xfrm>
                      <a:off x="0" y="0"/>
                      <a:ext cx="5943600" cy="4220845"/>
                    </a:xfrm>
                    <a:prstGeom prst="rect">
                      <a:avLst/>
                    </a:prstGeom>
                  </pic:spPr>
                </pic:pic>
              </a:graphicData>
            </a:graphic>
          </wp:inline>
        </w:drawing>
      </w:r>
    </w:p>
    <w:p w14:paraId="33FA3399" w14:textId="50DD26F1" w:rsidR="00DF5562" w:rsidRDefault="00DF5562" w:rsidP="000F1A32">
      <w:pPr>
        <w:pStyle w:val="Caption"/>
        <w:spacing w:after="0"/>
      </w:pPr>
      <w:bookmarkStart w:id="8" w:name="_Ref18143450"/>
      <w:r>
        <w:lastRenderedPageBreak/>
        <w:t xml:space="preserve">Figure </w:t>
      </w:r>
      <w:r w:rsidR="006D53AC">
        <w:rPr>
          <w:noProof/>
        </w:rPr>
        <w:fldChar w:fldCharType="begin"/>
      </w:r>
      <w:r w:rsidR="006D53AC">
        <w:rPr>
          <w:noProof/>
        </w:rPr>
        <w:instrText xml:space="preserve"> SEQ Figure \* ARABIC </w:instrText>
      </w:r>
      <w:r w:rsidR="006D53AC">
        <w:rPr>
          <w:noProof/>
        </w:rPr>
        <w:fldChar w:fldCharType="separate"/>
      </w:r>
      <w:r w:rsidR="009B12FA">
        <w:rPr>
          <w:noProof/>
        </w:rPr>
        <w:t>2</w:t>
      </w:r>
      <w:r w:rsidR="006D53AC">
        <w:rPr>
          <w:noProof/>
        </w:rPr>
        <w:fldChar w:fldCharType="end"/>
      </w:r>
      <w:bookmarkEnd w:id="8"/>
      <w:r>
        <w:t>. WTH GHG emissions of marine fuels pathways.</w:t>
      </w:r>
      <w:r w:rsidR="003222C0">
        <w:t xml:space="preserve"> The numbers </w:t>
      </w:r>
      <w:r w:rsidR="00950837">
        <w:t>present emissions relative to baseline (HFO 2.7% sulfur) emissions. MSD engines</w:t>
      </w:r>
      <w:r w:rsidR="00D20401">
        <w:t xml:space="preserve">. MSD engines under IMO emission regulation tier of three are assumed to be used. </w:t>
      </w:r>
    </w:p>
    <w:p w14:paraId="4F2BC34B" w14:textId="03251822" w:rsidR="00C93B96" w:rsidRDefault="00C93B96" w:rsidP="00C93B96"/>
    <w:p w14:paraId="490684F7" w14:textId="77777777" w:rsidR="00C93B96" w:rsidRDefault="00A02772" w:rsidP="00C93B96">
      <w:pPr>
        <w:spacing w:after="0" w:line="240" w:lineRule="auto"/>
      </w:pPr>
      <w:r>
        <w:t>First, WTH GHG emissions of the baseline HFO (2.7% sulfur) and MGO (1.0% sulfur) are estimated at 95.5 and 88.9 gCO</w:t>
      </w:r>
      <w:r w:rsidRPr="005A2ABF">
        <w:rPr>
          <w:vertAlign w:val="subscript"/>
        </w:rPr>
        <w:t>2</w:t>
      </w:r>
      <w:r>
        <w:t>/MJ, respectively, and combustion emissions take around 85% of total WTH GHG emissions. Low sulfur petroleum-derived marine fuels have slightly higher WTH GHG emissions due to additional hydrogen inputs. HFO (1.0% sulfur) and MGO (1.0% sulfur) have WTH GHG emissions of 97.3 and 89.7 gCO</w:t>
      </w:r>
      <w:r w:rsidRPr="0025784E">
        <w:rPr>
          <w:vertAlign w:val="subscript"/>
        </w:rPr>
        <w:t>2</w:t>
      </w:r>
      <w:r>
        <w:t xml:space="preserve">e/MJ, respectively, which are 1.9% and 0.9% higher compared to those of HFO (2.7% sulfur) and MGO (1.0% sulfur). </w:t>
      </w:r>
    </w:p>
    <w:p w14:paraId="04B5834E" w14:textId="77777777" w:rsidR="00C93B96" w:rsidRDefault="00C93B96" w:rsidP="00C93B96">
      <w:pPr>
        <w:spacing w:after="0" w:line="240" w:lineRule="auto"/>
      </w:pPr>
    </w:p>
    <w:p w14:paraId="47050983" w14:textId="46A00A3C" w:rsidR="00B733AA" w:rsidRDefault="00A02772" w:rsidP="00C93B96">
      <w:pPr>
        <w:spacing w:after="0" w:line="240" w:lineRule="auto"/>
      </w:pPr>
      <w:r>
        <w:t>F</w:t>
      </w:r>
      <w:r w:rsidR="005157BA" w:rsidRPr="005157BA">
        <w:t>uel combustion emissions are dependent on carbon contents which do not show significant variations</w:t>
      </w:r>
      <w:r w:rsidR="00BE1255">
        <w:t xml:space="preserve"> (except for pyrolysis oil with very low heating value</w:t>
      </w:r>
      <w:r>
        <w:t xml:space="preserve"> [</w:t>
      </w:r>
      <w:r>
        <w:fldChar w:fldCharType="begin"/>
      </w:r>
      <w:r>
        <w:instrText xml:space="preserve"> REF _Ref18351169 \h </w:instrText>
      </w:r>
      <w:r>
        <w:fldChar w:fldCharType="separate"/>
      </w:r>
      <w:r>
        <w:t>Table A</w:t>
      </w:r>
      <w:r>
        <w:rPr>
          <w:noProof/>
        </w:rPr>
        <w:t>1</w:t>
      </w:r>
      <w:r>
        <w:fldChar w:fldCharType="end"/>
      </w:r>
      <w:r>
        <w:t>]</w:t>
      </w:r>
      <w:r w:rsidR="00BE1255">
        <w:t>)</w:t>
      </w:r>
      <w:r w:rsidR="005157BA" w:rsidRPr="005157BA">
        <w:t xml:space="preserve">; main differences in WTH emissions </w:t>
      </w:r>
      <w:r>
        <w:t>are</w:t>
      </w:r>
      <w:r w:rsidR="005157BA" w:rsidRPr="005157BA">
        <w:t xml:space="preserve"> from </w:t>
      </w:r>
      <w:r w:rsidR="00BE1255">
        <w:t xml:space="preserve">other factors such as </w:t>
      </w:r>
      <w:r w:rsidR="005157BA" w:rsidRPr="005157BA">
        <w:t>emissions during fuel production</w:t>
      </w:r>
      <w:r w:rsidR="005157BA">
        <w:t>, biogenic carbon contents, and CH</w:t>
      </w:r>
      <w:r w:rsidR="005157BA" w:rsidRPr="00BE1255">
        <w:rPr>
          <w:vertAlign w:val="subscript"/>
        </w:rPr>
        <w:t>4</w:t>
      </w:r>
      <w:r w:rsidR="005157BA">
        <w:t xml:space="preserve"> leakages</w:t>
      </w:r>
      <w:r w:rsidR="005157BA" w:rsidRPr="005157BA">
        <w:t>.</w:t>
      </w:r>
      <w:r w:rsidR="005157BA">
        <w:t xml:space="preserve"> </w:t>
      </w:r>
      <w:r w:rsidR="007C53D5">
        <w:t>For</w:t>
      </w:r>
      <w:r w:rsidR="00B733AA">
        <w:t xml:space="preserve"> NG</w:t>
      </w:r>
      <w:r w:rsidR="007C53D5">
        <w:t xml:space="preserve"> uses</w:t>
      </w:r>
      <w:r w:rsidR="00B733AA">
        <w:t xml:space="preserve">, </w:t>
      </w:r>
      <w:r w:rsidR="00B733AA">
        <w:fldChar w:fldCharType="begin"/>
      </w:r>
      <w:r w:rsidR="00B733AA">
        <w:instrText xml:space="preserve"> REF _Ref18143450 \h </w:instrText>
      </w:r>
      <w:r w:rsidR="00B733AA">
        <w:fldChar w:fldCharType="separate"/>
      </w:r>
      <w:r w:rsidR="00AA250B">
        <w:t xml:space="preserve">Figure </w:t>
      </w:r>
      <w:r w:rsidR="00AA250B">
        <w:rPr>
          <w:noProof/>
        </w:rPr>
        <w:t>2</w:t>
      </w:r>
      <w:r w:rsidR="00B733AA">
        <w:fldChar w:fldCharType="end"/>
      </w:r>
      <w:r>
        <w:t>c</w:t>
      </w:r>
      <w:r w:rsidR="00B733AA">
        <w:t xml:space="preserve"> shows corresponding pathways (LNG and </w:t>
      </w:r>
      <w:r w:rsidR="004B217A">
        <w:t>FTD</w:t>
      </w:r>
      <w:r w:rsidR="00B733AA">
        <w:t xml:space="preserve"> using NG) </w:t>
      </w:r>
      <w:r w:rsidR="00C70410">
        <w:t xml:space="preserve">involve significantly </w:t>
      </w:r>
      <w:r w:rsidR="00B733AA">
        <w:t>higher CH</w:t>
      </w:r>
      <w:r w:rsidR="00B733AA" w:rsidRPr="007C53D5">
        <w:rPr>
          <w:vertAlign w:val="subscript"/>
        </w:rPr>
        <w:t>4</w:t>
      </w:r>
      <w:r w:rsidR="00B733AA">
        <w:t xml:space="preserve"> emissions compared to other pathways. Due to CH</w:t>
      </w:r>
      <w:r w:rsidR="00B733AA" w:rsidRPr="00A02772">
        <w:rPr>
          <w:vertAlign w:val="subscript"/>
        </w:rPr>
        <w:t>4</w:t>
      </w:r>
      <w:r w:rsidR="00B733AA">
        <w:t xml:space="preserve">’s high GWP, </w:t>
      </w:r>
      <w:r w:rsidR="00C70410">
        <w:t>CH</w:t>
      </w:r>
      <w:r w:rsidR="00C70410" w:rsidRPr="00A02772">
        <w:rPr>
          <w:vertAlign w:val="subscript"/>
        </w:rPr>
        <w:t>4</w:t>
      </w:r>
      <w:r w:rsidR="00C70410">
        <w:t xml:space="preserve"> emissions magnify the overall WTH GHG emissions. In particular, LNG involves significantly high CH</w:t>
      </w:r>
      <w:r w:rsidR="00C70410" w:rsidRPr="00A02772">
        <w:rPr>
          <w:vertAlign w:val="subscript"/>
        </w:rPr>
        <w:t>4</w:t>
      </w:r>
      <w:r w:rsidR="00C70410">
        <w:t xml:space="preserve"> emissions throughout its supply chain. While </w:t>
      </w:r>
      <w:r w:rsidR="00F736A3">
        <w:t xml:space="preserve">WTH </w:t>
      </w:r>
      <w:r w:rsidR="00C70410">
        <w:t>CO</w:t>
      </w:r>
      <w:r w:rsidR="00C70410" w:rsidRPr="00A02772">
        <w:rPr>
          <w:vertAlign w:val="subscript"/>
        </w:rPr>
        <w:t>2</w:t>
      </w:r>
      <w:r w:rsidR="00C70410">
        <w:t xml:space="preserve"> emissions of the LNG pa</w:t>
      </w:r>
      <w:r w:rsidR="00F736A3">
        <w:t>thway is estimated at 65.4 g/MJ, which is 28.0% lower than HFO (2.7% sulfur), WTH GHG emissions are 94.0 gCO</w:t>
      </w:r>
      <w:r w:rsidR="00F736A3" w:rsidRPr="00A02772">
        <w:rPr>
          <w:vertAlign w:val="subscript"/>
        </w:rPr>
        <w:t>2</w:t>
      </w:r>
      <w:r w:rsidR="00F736A3">
        <w:t>e/MJ</w:t>
      </w:r>
      <w:r>
        <w:t>,</w:t>
      </w:r>
      <w:r w:rsidR="00F736A3">
        <w:t xml:space="preserve"> similar to those of HFO (2.7% sulfur)</w:t>
      </w:r>
      <w:r>
        <w:t xml:space="preserve"> due to contribution of CH</w:t>
      </w:r>
      <w:r w:rsidRPr="00A02772">
        <w:rPr>
          <w:vertAlign w:val="subscript"/>
        </w:rPr>
        <w:t>4</w:t>
      </w:r>
      <w:r>
        <w:t xml:space="preserve"> emissions (</w:t>
      </w:r>
      <w:r>
        <w:fldChar w:fldCharType="begin"/>
      </w:r>
      <w:r>
        <w:instrText xml:space="preserve"> REF _Ref18143450 \h </w:instrText>
      </w:r>
      <w:r>
        <w:fldChar w:fldCharType="separate"/>
      </w:r>
      <w:r>
        <w:t xml:space="preserve">Figure </w:t>
      </w:r>
      <w:r>
        <w:rPr>
          <w:noProof/>
        </w:rPr>
        <w:t>2</w:t>
      </w:r>
      <w:r>
        <w:fldChar w:fldCharType="end"/>
      </w:r>
      <w:r>
        <w:t>d);</w:t>
      </w:r>
      <w:r w:rsidR="00F736A3">
        <w:t xml:space="preserve"> </w:t>
      </w:r>
      <w:r>
        <w:t>o</w:t>
      </w:r>
      <w:r w:rsidR="005157BA">
        <w:t>nly 0.916 g CH</w:t>
      </w:r>
      <w:r w:rsidR="005157BA" w:rsidRPr="00A02772">
        <w:rPr>
          <w:vertAlign w:val="subscript"/>
        </w:rPr>
        <w:t>4</w:t>
      </w:r>
      <w:r w:rsidR="005157BA">
        <w:t xml:space="preserve">/MJ contributes 29.2% of its WTH GHG emissions. </w:t>
      </w:r>
      <w:r w:rsidR="00113216">
        <w:t>In particular, CH</w:t>
      </w:r>
      <w:r w:rsidR="00113216" w:rsidRPr="00A02772">
        <w:rPr>
          <w:vertAlign w:val="subscript"/>
        </w:rPr>
        <w:t>4</w:t>
      </w:r>
      <w:r w:rsidR="00113216">
        <w:t xml:space="preserve"> slip </w:t>
      </w:r>
      <w:r w:rsidR="00510A41">
        <w:t>during downstream combustion significantly influences LNG’s WTH GHG emissions</w:t>
      </w:r>
      <w:r w:rsidR="00A93CCB">
        <w:t xml:space="preserve"> </w:t>
      </w:r>
      <w:r w:rsidR="00A93CCB">
        <w:fldChar w:fldCharType="begin"/>
      </w:r>
      <w:r w:rsidR="0088734B">
        <w:instrText xml:space="preserve"> ADDIN ZOTERO_ITEM CSL_CITATION {"citationID":"a1k2qkflp0s","properties":{"formattedCitation":"[15]","plainCitation":"[15]","noteIndex":0},"citationItems":[{"id":3219,"uris":["http://zotero.org/users/2367688/items/VLHMQDNV"],"uri":["http://zotero.org/users/2367688/items/VLHMQDNV"],"itemData":{"id":3219,"type":"article-journal","title":"Natural gas as a marine fuel","container-title":"Energy Policy","page":"153-167","volume":"87","source":"ScienceDirect","abstract":"This paper provides new knowledge about the life-cycle emissions of natural gas compared to traditional petroleum-based fuels in the marine sector. While natural gas will reduce local air pollutants, such as sulfur oxides and particulate matter, the implications for greenhouse gases depend on how the natural gas is extracted, processed, distributed, and used. Applying a “technology warming potential” (TWP) approach, natural gas as a marine fuel achieves climate parity within 30 years for diesel ignited engines, though could take up to 190 years to reach climate parity with conventional fuels in a spark ignited engine. Movement towards natural gas as a marine fuel continues to progress, and conditions exist in some regions to make a near-term transition to natural gas feasible. Liquefied natural gas in marine transportation is likely to be incentivized where economics favoring natural gas is coupled with air emissions public policy targets. To ensure that climate neutral conversion is achieved with the least delay, TWP results highlight the important role of energy policy for infrastructure development of upstream pathways and onboard ship systems technology innovation.","DOI":"10.1016/j.enpol.2015.08.027","ISSN":"0301-4215","journalAbbreviation":"Energy Policy","author":[{"family":"Thomson","given":"Heather"},{"family":"Corbett","given":"James J."},{"family":"Winebrake","given":"James J."}],"issued":{"date-parts":[["2015",12,1]]}}}],"schema":"https://github.com/citation-style-language/schema/raw/master/csl-citation.json"} </w:instrText>
      </w:r>
      <w:r w:rsidR="00A93CCB">
        <w:fldChar w:fldCharType="separate"/>
      </w:r>
      <w:r w:rsidR="0088734B" w:rsidRPr="0088734B">
        <w:rPr>
          <w:rFonts w:cs="Times New Roman"/>
        </w:rPr>
        <w:t>[15]</w:t>
      </w:r>
      <w:r w:rsidR="00A93CCB">
        <w:fldChar w:fldCharType="end"/>
      </w:r>
      <w:r w:rsidR="00510A41">
        <w:t xml:space="preserve">. </w:t>
      </w:r>
    </w:p>
    <w:p w14:paraId="29E4A01F" w14:textId="77777777" w:rsidR="00C93B96" w:rsidRDefault="00C93B96" w:rsidP="00C93B96">
      <w:pPr>
        <w:spacing w:after="0" w:line="240" w:lineRule="auto"/>
      </w:pPr>
    </w:p>
    <w:p w14:paraId="266AAC9F" w14:textId="3EB24435" w:rsidR="00943545" w:rsidRDefault="005157BA" w:rsidP="00C93B96">
      <w:pPr>
        <w:spacing w:after="0" w:line="240" w:lineRule="auto"/>
      </w:pPr>
      <w:r>
        <w:t xml:space="preserve">Fuels from biomass have significantly lower WTH GHG emissions mainly due to their biogenic carbon credits. </w:t>
      </w:r>
      <w:r w:rsidR="00283121">
        <w:t>Depending on the share of biogenic carbon</w:t>
      </w:r>
      <w:r w:rsidR="0056183B">
        <w:t xml:space="preserve">, emission reduction rates vary. For example, marine fuel production using both fossil and biomass feedstocks (50% and 50% by weight), </w:t>
      </w:r>
      <w:r w:rsidR="0053313F">
        <w:t xml:space="preserve">WTH GHG emission </w:t>
      </w:r>
      <w:r w:rsidR="0056183B">
        <w:t>reductions in GHG emissions compared to HFO (2.</w:t>
      </w:r>
      <w:r w:rsidR="0053313F">
        <w:t>7% sulfur) are estimated at 40–</w:t>
      </w:r>
      <w:r w:rsidR="00950837">
        <w:t>45</w:t>
      </w:r>
      <w:r w:rsidR="0053313F">
        <w:t xml:space="preserve">%. Biofuels produced from 100% biomass have much higher reductions in GHG emissions (67–93%). </w:t>
      </w:r>
    </w:p>
    <w:p w14:paraId="61A48CC7" w14:textId="77777777" w:rsidR="00C93B96" w:rsidRDefault="00C93B96" w:rsidP="00C93B96">
      <w:pPr>
        <w:spacing w:after="0" w:line="240" w:lineRule="auto"/>
      </w:pPr>
    </w:p>
    <w:p w14:paraId="39918CA8" w14:textId="509145E0" w:rsidR="00943545" w:rsidRDefault="00510A41" w:rsidP="00C93B96">
      <w:pPr>
        <w:spacing w:after="0" w:line="240" w:lineRule="auto"/>
      </w:pPr>
      <w:r>
        <w:fldChar w:fldCharType="begin"/>
      </w:r>
      <w:r>
        <w:instrText xml:space="preserve"> REF _Ref18147299 \h </w:instrText>
      </w:r>
      <w:r>
        <w:fldChar w:fldCharType="separate"/>
      </w:r>
      <w:r w:rsidR="00AA250B">
        <w:t xml:space="preserve">Figure </w:t>
      </w:r>
      <w:r w:rsidR="00AA250B">
        <w:rPr>
          <w:noProof/>
        </w:rPr>
        <w:t>3</w:t>
      </w:r>
      <w:r>
        <w:fldChar w:fldCharType="end"/>
      </w:r>
      <w:r>
        <w:t xml:space="preserve"> presents major WTH CAP emissions (SOx, NOx, PM</w:t>
      </w:r>
      <w:r w:rsidRPr="008A4472">
        <w:rPr>
          <w:vertAlign w:val="subscript"/>
        </w:rPr>
        <w:t>2.5</w:t>
      </w:r>
      <w:r>
        <w:t xml:space="preserve">, and CO), which shows that the combustion stage is dominant for CAP emissions. </w:t>
      </w:r>
      <w:r w:rsidR="00081AF7">
        <w:t>SOx emissions are dependent on sulfur contents in marine fuels; thus, desulfurization reduces life-cycle SOx emissions significantly</w:t>
      </w:r>
      <w:r w:rsidR="008A4472">
        <w:t xml:space="preserve"> (</w:t>
      </w:r>
      <w:r w:rsidR="008A4472">
        <w:fldChar w:fldCharType="begin"/>
      </w:r>
      <w:r w:rsidR="008A4472">
        <w:instrText xml:space="preserve"> REF _Ref18147299 \h </w:instrText>
      </w:r>
      <w:r w:rsidR="008A4472">
        <w:fldChar w:fldCharType="separate"/>
      </w:r>
      <w:r w:rsidR="008A4472">
        <w:t xml:space="preserve">Figure </w:t>
      </w:r>
      <w:r w:rsidR="008A4472">
        <w:rPr>
          <w:noProof/>
        </w:rPr>
        <w:t>3</w:t>
      </w:r>
      <w:r w:rsidR="008A4472">
        <w:fldChar w:fldCharType="end"/>
      </w:r>
      <w:r w:rsidR="008A4472">
        <w:t>a) while slightly increases WTH GHG emissions (</w:t>
      </w:r>
      <w:r w:rsidR="008A4472">
        <w:fldChar w:fldCharType="begin"/>
      </w:r>
      <w:r w:rsidR="008A4472">
        <w:instrText xml:space="preserve"> REF _Ref18143450 \h </w:instrText>
      </w:r>
      <w:r w:rsidR="008A4472">
        <w:fldChar w:fldCharType="separate"/>
      </w:r>
      <w:r w:rsidR="008A4472">
        <w:t xml:space="preserve">Figure </w:t>
      </w:r>
      <w:r w:rsidR="008A4472">
        <w:rPr>
          <w:noProof/>
        </w:rPr>
        <w:t>2</w:t>
      </w:r>
      <w:r w:rsidR="008A4472">
        <w:fldChar w:fldCharType="end"/>
      </w:r>
      <w:r w:rsidR="008A4472">
        <w:t>a)</w:t>
      </w:r>
      <w:r w:rsidR="00081AF7">
        <w:t xml:space="preserve">. </w:t>
      </w:r>
      <w:r w:rsidR="00994FE9">
        <w:t>The baseline HFO (2.7% sulfur) has WTH SOx emissions of 1.35 g/MJ, and low sulfur HFOs with 0.5% and 0.1% have WTH SOx emis</w:t>
      </w:r>
      <w:r w:rsidR="00454492">
        <w:t>si</w:t>
      </w:r>
      <w:r w:rsidR="00994FE9">
        <w:t xml:space="preserve">ons of 0.26 and </w:t>
      </w:r>
      <w:r w:rsidR="002F301E">
        <w:t xml:space="preserve">0.06 g/MJ, respectively, which are 81% and 95% lower than the baseline HFO, respectively. </w:t>
      </w:r>
      <w:r w:rsidR="00B37514">
        <w:t xml:space="preserve">MGO (1.0% sulfur) has SOx </w:t>
      </w:r>
      <w:r w:rsidR="00855A0C">
        <w:t xml:space="preserve">emissions </w:t>
      </w:r>
      <w:r w:rsidR="00B37514">
        <w:t xml:space="preserve">of 0.47 g/MJ, and this can be reduced to 0.24 and 0.06 g/MJ through desulfurization to 0.5% and 0.1%, respectively. </w:t>
      </w:r>
      <w:r w:rsidR="00A93CCB">
        <w:t>B</w:t>
      </w:r>
      <w:r w:rsidR="00EE6735">
        <w:t xml:space="preserve">iomass-derived fuels are mostly free of </w:t>
      </w:r>
      <w:r w:rsidR="00B31823">
        <w:t>sulfur leading to significant reductions in SOx emissions</w:t>
      </w:r>
      <w:r w:rsidR="00A93CCB">
        <w:t xml:space="preserve"> (97–100%)</w:t>
      </w:r>
      <w:r w:rsidR="00B31823">
        <w:t xml:space="preserve"> </w:t>
      </w:r>
      <w:r w:rsidR="00A93CCB">
        <w:t xml:space="preserve">except for </w:t>
      </w:r>
      <w:r w:rsidR="00B31823">
        <w:t xml:space="preserve">renewable diesel from yellow grease </w:t>
      </w:r>
      <w:r w:rsidR="00855A0C">
        <w:t>with</w:t>
      </w:r>
      <w:r w:rsidR="00B31823">
        <w:t xml:space="preserve"> HFO</w:t>
      </w:r>
      <w:r w:rsidR="00A93CCB">
        <w:t xml:space="preserve"> </w:t>
      </w:r>
      <w:r w:rsidR="00855A0C">
        <w:t xml:space="preserve">inputs </w:t>
      </w:r>
      <w:r w:rsidR="00A93CCB">
        <w:t>(</w:t>
      </w:r>
      <w:r w:rsidR="00855A0C">
        <w:t>1.51% sulfur</w:t>
      </w:r>
      <w:r w:rsidR="00A93CCB">
        <w:t>)</w:t>
      </w:r>
      <w:r w:rsidR="00855A0C">
        <w:t xml:space="preserve"> because of </w:t>
      </w:r>
      <w:r w:rsidR="00A93CCB">
        <w:t>sulfur from HFO</w:t>
      </w:r>
      <w:r w:rsidR="00855A0C">
        <w:t>.</w:t>
      </w:r>
      <w:r w:rsidR="00A93CCB">
        <w:t xml:space="preserve"> </w:t>
      </w:r>
      <w:r w:rsidR="00855A0C">
        <w:t xml:space="preserve">PM emissions </w:t>
      </w:r>
      <w:r w:rsidR="00454492">
        <w:t>mainly consist</w:t>
      </w:r>
      <w:r w:rsidR="00855A0C">
        <w:t xml:space="preserve"> </w:t>
      </w:r>
      <w:r w:rsidR="00454492">
        <w:t>of</w:t>
      </w:r>
      <w:r w:rsidR="00855A0C">
        <w:t xml:space="preserve"> base PM and PM derived from sulfur.</w:t>
      </w:r>
      <w:r w:rsidR="00A93CCB">
        <w:t xml:space="preserve"> For NOx and CO emissions, all fuels are within </w:t>
      </w:r>
      <w:r w:rsidR="00D13D53">
        <w:t xml:space="preserve">a </w:t>
      </w:r>
      <w:r w:rsidR="00A93CCB">
        <w:t>relatively narrow boundary</w:t>
      </w:r>
      <w:r w:rsidR="00C3513D">
        <w:t>, except for LNG</w:t>
      </w:r>
      <w:r w:rsidR="00A93CCB">
        <w:t>. LNG shows 25% lower NOx emissions and 28% higher CO emissions</w:t>
      </w:r>
      <w:r w:rsidR="00126EF2">
        <w:t>.</w:t>
      </w:r>
      <w:r w:rsidR="00943545">
        <w:t xml:space="preserve"> </w:t>
      </w:r>
      <w:r w:rsidR="00D20401">
        <w:t xml:space="preserve">Note that the results may vary depending on the types of engines and emission regulation tiers. </w:t>
      </w:r>
    </w:p>
    <w:p w14:paraId="6C99DFB8" w14:textId="39931CA9" w:rsidR="0085434B" w:rsidRDefault="00950837" w:rsidP="000F1A32">
      <w:pPr>
        <w:spacing w:after="0" w:line="240" w:lineRule="auto"/>
      </w:pPr>
      <w:r>
        <w:rPr>
          <w:noProof/>
          <w:lang w:eastAsia="en-US"/>
        </w:rPr>
        <w:lastRenderedPageBreak/>
        <w:drawing>
          <wp:inline distT="0" distB="0" distL="0" distR="0" wp14:anchorId="5BBF5663" wp14:editId="4C918DF1">
            <wp:extent cx="5943600" cy="4187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_label2.emf"/>
                    <pic:cNvPicPr/>
                  </pic:nvPicPr>
                  <pic:blipFill>
                    <a:blip r:embed="rId13">
                      <a:extLst>
                        <a:ext uri="{28A0092B-C50C-407E-A947-70E740481C1C}">
                          <a14:useLocalDpi xmlns:a14="http://schemas.microsoft.com/office/drawing/2010/main" val="0"/>
                        </a:ext>
                      </a:extLst>
                    </a:blip>
                    <a:stretch>
                      <a:fillRect/>
                    </a:stretch>
                  </pic:blipFill>
                  <pic:spPr>
                    <a:xfrm>
                      <a:off x="0" y="0"/>
                      <a:ext cx="5943600" cy="4187825"/>
                    </a:xfrm>
                    <a:prstGeom prst="rect">
                      <a:avLst/>
                    </a:prstGeom>
                  </pic:spPr>
                </pic:pic>
              </a:graphicData>
            </a:graphic>
          </wp:inline>
        </w:drawing>
      </w:r>
    </w:p>
    <w:p w14:paraId="39AA22DA" w14:textId="6B1ADF7C" w:rsidR="002A2264" w:rsidRDefault="003132CC" w:rsidP="000F1A32">
      <w:pPr>
        <w:pStyle w:val="Caption"/>
        <w:spacing w:after="0"/>
      </w:pPr>
      <w:bookmarkStart w:id="9" w:name="_Ref18147299"/>
      <w:r>
        <w:t xml:space="preserve">Figure </w:t>
      </w:r>
      <w:r w:rsidR="006D53AC">
        <w:rPr>
          <w:noProof/>
        </w:rPr>
        <w:fldChar w:fldCharType="begin"/>
      </w:r>
      <w:r w:rsidR="006D53AC">
        <w:rPr>
          <w:noProof/>
        </w:rPr>
        <w:instrText xml:space="preserve"> SEQ Figure \* ARABIC </w:instrText>
      </w:r>
      <w:r w:rsidR="006D53AC">
        <w:rPr>
          <w:noProof/>
        </w:rPr>
        <w:fldChar w:fldCharType="separate"/>
      </w:r>
      <w:r w:rsidR="009B12FA">
        <w:rPr>
          <w:noProof/>
        </w:rPr>
        <w:t>3</w:t>
      </w:r>
      <w:r w:rsidR="006D53AC">
        <w:rPr>
          <w:noProof/>
        </w:rPr>
        <w:fldChar w:fldCharType="end"/>
      </w:r>
      <w:bookmarkEnd w:id="9"/>
      <w:r w:rsidR="00BA2EEB">
        <w:t xml:space="preserve">. </w:t>
      </w:r>
      <w:r w:rsidR="00510A41">
        <w:t xml:space="preserve">WTH </w:t>
      </w:r>
      <w:r w:rsidR="00BA2EEB">
        <w:t>CAP emissions</w:t>
      </w:r>
      <w:r w:rsidR="00950837">
        <w:t>. The numbers present emissions relative to baseline (HFO 2.7% sulfur) emissions.</w:t>
      </w:r>
      <w:r w:rsidR="00D20401" w:rsidRPr="00D20401">
        <w:t xml:space="preserve"> </w:t>
      </w:r>
      <w:r w:rsidR="00D20401">
        <w:t>MSD engines under IMO emission regulation tier of three are assumed to be used.</w:t>
      </w:r>
    </w:p>
    <w:p w14:paraId="130861BD" w14:textId="77777777" w:rsidR="00C93B96" w:rsidRDefault="00C93B96" w:rsidP="00C93B96">
      <w:pPr>
        <w:spacing w:after="0" w:line="240" w:lineRule="auto"/>
      </w:pPr>
    </w:p>
    <w:p w14:paraId="304EFB9B" w14:textId="60E3823E" w:rsidR="00236D57" w:rsidRDefault="002E458B" w:rsidP="00C93B96">
      <w:pPr>
        <w:spacing w:after="0" w:line="240" w:lineRule="auto"/>
      </w:pPr>
      <w:r>
        <w:t>WTH GHG emission</w:t>
      </w:r>
      <w:r w:rsidR="00B1320C">
        <w:t>s</w:t>
      </w:r>
      <w:r w:rsidR="008703A9">
        <w:t xml:space="preserve"> </w:t>
      </w:r>
      <w:r w:rsidR="00B1320C">
        <w:t xml:space="preserve">of trips </w:t>
      </w:r>
      <w:r w:rsidR="008703A9">
        <w:t xml:space="preserve">vary by the types of </w:t>
      </w:r>
      <w:r w:rsidR="007A252C">
        <w:t xml:space="preserve">marine vessels and corresponding trip characteristics </w:t>
      </w:r>
      <w:r w:rsidR="00B1320C">
        <w:t xml:space="preserve">as well as fuel types </w:t>
      </w:r>
      <w:r>
        <w:t>(</w:t>
      </w:r>
      <w:r w:rsidR="007A252C">
        <w:fldChar w:fldCharType="begin"/>
      </w:r>
      <w:r w:rsidR="007A252C">
        <w:instrText xml:space="preserve"> REF _Ref19792452 \h </w:instrText>
      </w:r>
      <w:r w:rsidR="007A252C">
        <w:fldChar w:fldCharType="separate"/>
      </w:r>
      <w:r w:rsidR="007A252C">
        <w:t xml:space="preserve">Figure </w:t>
      </w:r>
      <w:r w:rsidR="007A252C">
        <w:rPr>
          <w:noProof/>
        </w:rPr>
        <w:t>4</w:t>
      </w:r>
      <w:r w:rsidR="007A252C">
        <w:fldChar w:fldCharType="end"/>
      </w:r>
      <w:r>
        <w:t>)</w:t>
      </w:r>
      <w:r w:rsidR="007A252C">
        <w:t>.</w:t>
      </w:r>
      <w:r>
        <w:t xml:space="preserve"> Here</w:t>
      </w:r>
      <w:r w:rsidR="00C12B37">
        <w:t>,</w:t>
      </w:r>
      <w:r>
        <w:t xml:space="preserve"> domestic and international trip</w:t>
      </w:r>
      <w:r w:rsidR="00A503D9">
        <w:t>s</w:t>
      </w:r>
      <w:r>
        <w:t xml:space="preserve"> </w:t>
      </w:r>
      <w:r w:rsidR="0058586D">
        <w:t xml:space="preserve">of three types of marine vessels </w:t>
      </w:r>
      <w:r>
        <w:t xml:space="preserve">in Pacific </w:t>
      </w:r>
      <w:r w:rsidR="00A503D9">
        <w:t xml:space="preserve">using </w:t>
      </w:r>
      <w:r w:rsidR="009B12FA">
        <w:t xml:space="preserve">two different fuels (FT-marine diesel </w:t>
      </w:r>
      <w:r w:rsidR="00B1320C">
        <w:t xml:space="preserve">[biomass] </w:t>
      </w:r>
      <w:r w:rsidR="009B12FA">
        <w:t xml:space="preserve">and HFO [0.5% sulfur]) are presented </w:t>
      </w:r>
      <w:r>
        <w:t xml:space="preserve">as an example. </w:t>
      </w:r>
      <w:r w:rsidR="009B12FA">
        <w:t xml:space="preserve">More detailed analyses are available using GREET by setting trip parameters and fuel types for each trip segment. </w:t>
      </w:r>
      <w:r w:rsidR="00236D57">
        <w:t>Due to its low carbon intensity (g CO</w:t>
      </w:r>
      <w:r w:rsidR="00236D57" w:rsidRPr="00236D57">
        <w:rPr>
          <w:vertAlign w:val="subscript"/>
        </w:rPr>
        <w:t>2</w:t>
      </w:r>
      <w:r w:rsidR="00236D57">
        <w:t>/MJ), FT-diesel (biomass)</w:t>
      </w:r>
      <w:r w:rsidR="00B1320C">
        <w:t xml:space="preserve"> generates much lower GHG emissions for the same trip conditions</w:t>
      </w:r>
      <w:r w:rsidR="0058586D">
        <w:t xml:space="preserve"> as expected</w:t>
      </w:r>
      <w:r w:rsidR="00B1320C">
        <w:t xml:space="preserve">. </w:t>
      </w:r>
      <w:r w:rsidR="0058586D">
        <w:t>H</w:t>
      </w:r>
      <w:r w:rsidR="00B1320C">
        <w:t xml:space="preserve">owever, trip characteristics results in </w:t>
      </w:r>
      <w:r w:rsidR="0058586D">
        <w:t xml:space="preserve">significant differences in WTH GHG emission results mainly due to the differences in fuel consumption (operation hours). When it comes to million MT-km results, tanker VLCC emissions become smaller mainly due to its high payload </w:t>
      </w:r>
      <w:r w:rsidR="00CE710C">
        <w:t xml:space="preserve">and longer distance compared to others.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236D57" w14:paraId="78831AD6" w14:textId="77777777" w:rsidTr="00236D57">
        <w:tc>
          <w:tcPr>
            <w:tcW w:w="2160" w:type="dxa"/>
            <w:vAlign w:val="bottom"/>
          </w:tcPr>
          <w:p w14:paraId="60CBDA15" w14:textId="05287C9E" w:rsidR="00236D57" w:rsidRDefault="00236D57" w:rsidP="000F1A32">
            <w:pPr>
              <w:jc w:val="right"/>
            </w:pPr>
            <w:r>
              <w:lastRenderedPageBreak/>
              <w:t>a)</w:t>
            </w:r>
          </w:p>
        </w:tc>
        <w:tc>
          <w:tcPr>
            <w:tcW w:w="7190" w:type="dxa"/>
            <w:vAlign w:val="center"/>
          </w:tcPr>
          <w:p w14:paraId="077A43AE" w14:textId="73FFE61D" w:rsidR="00236D57" w:rsidRDefault="00236D57" w:rsidP="000F1A32">
            <w:pPr>
              <w:jc w:val="left"/>
            </w:pPr>
            <w:r>
              <w:rPr>
                <w:noProof/>
                <w:lang w:eastAsia="en-US"/>
              </w:rPr>
              <w:drawing>
                <wp:inline distT="0" distB="0" distL="0" distR="0" wp14:anchorId="3B2BDAAD" wp14:editId="4F84A817">
                  <wp:extent cx="4114800" cy="2626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vel_examples.emf"/>
                          <pic:cNvPicPr/>
                        </pic:nvPicPr>
                        <pic:blipFill>
                          <a:blip r:embed="rId14">
                            <a:extLst>
                              <a:ext uri="{28A0092B-C50C-407E-A947-70E740481C1C}">
                                <a14:useLocalDpi xmlns:a14="http://schemas.microsoft.com/office/drawing/2010/main" val="0"/>
                              </a:ext>
                            </a:extLst>
                          </a:blip>
                          <a:stretch>
                            <a:fillRect/>
                          </a:stretch>
                        </pic:blipFill>
                        <pic:spPr>
                          <a:xfrm>
                            <a:off x="0" y="0"/>
                            <a:ext cx="4114800" cy="2626702"/>
                          </a:xfrm>
                          <a:prstGeom prst="rect">
                            <a:avLst/>
                          </a:prstGeom>
                        </pic:spPr>
                      </pic:pic>
                    </a:graphicData>
                  </a:graphic>
                </wp:inline>
              </w:drawing>
            </w:r>
          </w:p>
        </w:tc>
      </w:tr>
      <w:tr w:rsidR="00236D57" w14:paraId="5AAA6855" w14:textId="77777777" w:rsidTr="00236D57">
        <w:tc>
          <w:tcPr>
            <w:tcW w:w="2160" w:type="dxa"/>
            <w:vAlign w:val="bottom"/>
          </w:tcPr>
          <w:p w14:paraId="58A97F86" w14:textId="1EFB2136" w:rsidR="00236D57" w:rsidRDefault="00236D57" w:rsidP="000F1A32">
            <w:pPr>
              <w:jc w:val="right"/>
            </w:pPr>
            <w:r>
              <w:t>b)</w:t>
            </w:r>
          </w:p>
        </w:tc>
        <w:tc>
          <w:tcPr>
            <w:tcW w:w="7190" w:type="dxa"/>
            <w:vAlign w:val="center"/>
          </w:tcPr>
          <w:p w14:paraId="798E1437" w14:textId="1D489AC0" w:rsidR="00236D57" w:rsidRDefault="00236D57" w:rsidP="000F1A32">
            <w:pPr>
              <w:jc w:val="left"/>
            </w:pPr>
            <w:r>
              <w:rPr>
                <w:noProof/>
                <w:lang w:eastAsia="en-US"/>
              </w:rPr>
              <w:drawing>
                <wp:inline distT="0" distB="0" distL="0" distR="0" wp14:anchorId="056583BB" wp14:editId="15C9D58C">
                  <wp:extent cx="4114800" cy="26267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vel_tonnekm.emf"/>
                          <pic:cNvPicPr/>
                        </pic:nvPicPr>
                        <pic:blipFill>
                          <a:blip r:embed="rId15">
                            <a:extLst>
                              <a:ext uri="{28A0092B-C50C-407E-A947-70E740481C1C}">
                                <a14:useLocalDpi xmlns:a14="http://schemas.microsoft.com/office/drawing/2010/main" val="0"/>
                              </a:ext>
                            </a:extLst>
                          </a:blip>
                          <a:stretch>
                            <a:fillRect/>
                          </a:stretch>
                        </pic:blipFill>
                        <pic:spPr>
                          <a:xfrm>
                            <a:off x="0" y="0"/>
                            <a:ext cx="4114800" cy="2626702"/>
                          </a:xfrm>
                          <a:prstGeom prst="rect">
                            <a:avLst/>
                          </a:prstGeom>
                        </pic:spPr>
                      </pic:pic>
                    </a:graphicData>
                  </a:graphic>
                </wp:inline>
              </w:drawing>
            </w:r>
          </w:p>
        </w:tc>
      </w:tr>
    </w:tbl>
    <w:p w14:paraId="4B2DCAB1" w14:textId="2045AF70" w:rsidR="009B12FA" w:rsidRDefault="009B12FA" w:rsidP="000F1A32">
      <w:pPr>
        <w:spacing w:after="0" w:line="240" w:lineRule="auto"/>
      </w:pPr>
    </w:p>
    <w:p w14:paraId="6716B782" w14:textId="0BE0BE82" w:rsidR="009B12FA" w:rsidRDefault="009B12FA" w:rsidP="000F1A32">
      <w:pPr>
        <w:pStyle w:val="Caption"/>
        <w:spacing w:after="0"/>
      </w:pPr>
      <w:r>
        <w:t xml:space="preserve">Figure </w:t>
      </w:r>
      <w:fldSimple w:instr=" SEQ Figure \* ARABIC ">
        <w:r>
          <w:rPr>
            <w:noProof/>
          </w:rPr>
          <w:t>4</w:t>
        </w:r>
      </w:fldSimple>
      <w:r>
        <w:t xml:space="preserve">. WTH GHG emissions </w:t>
      </w:r>
      <w:r w:rsidR="00236D57">
        <w:t xml:space="preserve">(per trip and per million MT-km) </w:t>
      </w:r>
      <w:r>
        <w:t>for example trip conditions using FT-marine diesel</w:t>
      </w:r>
      <w:r w:rsidR="00236D57">
        <w:t xml:space="preserve"> (biomass)</w:t>
      </w:r>
      <w:r>
        <w:t xml:space="preserve"> and HFO (0.5% sulfur). Three marine vessel types for domestic and international trips in Pacific are presented. </w:t>
      </w:r>
    </w:p>
    <w:p w14:paraId="2DF66C40" w14:textId="77777777" w:rsidR="00637388" w:rsidRDefault="00637388" w:rsidP="000F1A32">
      <w:pPr>
        <w:spacing w:after="0" w:line="240" w:lineRule="auto"/>
      </w:pPr>
    </w:p>
    <w:p w14:paraId="47F94004" w14:textId="5AA00BC6" w:rsidR="00CE710C" w:rsidRPr="00CE710C" w:rsidRDefault="00637388" w:rsidP="000F1A32">
      <w:pPr>
        <w:spacing w:after="0" w:line="240" w:lineRule="auto"/>
      </w:pPr>
      <w:r>
        <w:t xml:space="preserve">Variations in </w:t>
      </w:r>
      <w:r w:rsidR="00CE710C">
        <w:t xml:space="preserve">WTH CAP emissions </w:t>
      </w:r>
      <w:r>
        <w:t xml:space="preserve">depending on vessel types and trip characteristics are presented in </w:t>
      </w:r>
      <w:r w:rsidR="00CE710C">
        <w:fldChar w:fldCharType="begin"/>
      </w:r>
      <w:r w:rsidR="00CE710C">
        <w:instrText xml:space="preserve"> REF _Ref19792452 \h </w:instrText>
      </w:r>
      <w:r w:rsidR="00CE710C">
        <w:fldChar w:fldCharType="separate"/>
      </w:r>
      <w:r w:rsidR="00CE710C">
        <w:t xml:space="preserve">Figure </w:t>
      </w:r>
      <w:r w:rsidR="00CE710C">
        <w:rPr>
          <w:noProof/>
        </w:rPr>
        <w:t>5</w:t>
      </w:r>
      <w:r w:rsidR="00CE710C">
        <w:fldChar w:fldCharType="end"/>
      </w:r>
      <w:r>
        <w:t xml:space="preserve">. </w:t>
      </w:r>
      <w:r w:rsidR="00CE710C">
        <w:t xml:space="preserve"> </w:t>
      </w:r>
    </w:p>
    <w:p w14:paraId="6930F8A5" w14:textId="3C0EB96D" w:rsidR="008703A9" w:rsidRDefault="008703A9" w:rsidP="000F1A32">
      <w:pPr>
        <w:spacing w:after="0" w:line="240" w:lineRule="auto"/>
      </w:pPr>
      <w:r>
        <w:rPr>
          <w:noProof/>
          <w:lang w:eastAsia="en-US"/>
        </w:rPr>
        <w:lastRenderedPageBreak/>
        <w:drawing>
          <wp:inline distT="0" distB="0" distL="0" distR="0" wp14:anchorId="51D9304A" wp14:editId="3CA682D0">
            <wp:extent cx="5943600" cy="6217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p_results.emf"/>
                    <pic:cNvPicPr/>
                  </pic:nvPicPr>
                  <pic:blipFill>
                    <a:blip r:embed="rId16">
                      <a:extLst>
                        <a:ext uri="{28A0092B-C50C-407E-A947-70E740481C1C}">
                          <a14:useLocalDpi xmlns:a14="http://schemas.microsoft.com/office/drawing/2010/main" val="0"/>
                        </a:ext>
                      </a:extLst>
                    </a:blip>
                    <a:stretch>
                      <a:fillRect/>
                    </a:stretch>
                  </pic:blipFill>
                  <pic:spPr>
                    <a:xfrm>
                      <a:off x="0" y="0"/>
                      <a:ext cx="5943600" cy="6217285"/>
                    </a:xfrm>
                    <a:prstGeom prst="rect">
                      <a:avLst/>
                    </a:prstGeom>
                  </pic:spPr>
                </pic:pic>
              </a:graphicData>
            </a:graphic>
          </wp:inline>
        </w:drawing>
      </w:r>
    </w:p>
    <w:p w14:paraId="10F5E21C" w14:textId="35B45A19" w:rsidR="008703A9" w:rsidRDefault="008703A9" w:rsidP="000F1A32">
      <w:pPr>
        <w:pStyle w:val="Caption"/>
        <w:spacing w:after="0"/>
      </w:pPr>
      <w:bookmarkStart w:id="10" w:name="_Ref19792452"/>
      <w:r>
        <w:t xml:space="preserve">Figure </w:t>
      </w:r>
      <w:r>
        <w:rPr>
          <w:noProof/>
        </w:rPr>
        <w:fldChar w:fldCharType="begin"/>
      </w:r>
      <w:r>
        <w:rPr>
          <w:noProof/>
        </w:rPr>
        <w:instrText xml:space="preserve"> SEQ Figure \* ARABIC </w:instrText>
      </w:r>
      <w:r>
        <w:rPr>
          <w:noProof/>
        </w:rPr>
        <w:fldChar w:fldCharType="separate"/>
      </w:r>
      <w:r w:rsidR="009B12FA">
        <w:rPr>
          <w:noProof/>
        </w:rPr>
        <w:t>5</w:t>
      </w:r>
      <w:r>
        <w:rPr>
          <w:noProof/>
        </w:rPr>
        <w:fldChar w:fldCharType="end"/>
      </w:r>
      <w:bookmarkEnd w:id="10"/>
      <w:r>
        <w:t>. WTH GHG and CAP emissions for example trip conditions</w:t>
      </w:r>
      <w:r w:rsidR="00A503D9">
        <w:t xml:space="preserve"> using FT-marine diesel</w:t>
      </w:r>
      <w:r>
        <w:t xml:space="preserve">. These are for three marine vessel types (bulk, tanker, and container) for two trip conditions in Pacific (domestic and international). </w:t>
      </w:r>
      <w:r w:rsidR="002E458B">
        <w:t xml:space="preserve">The numbers presented right hand side of each chart represent total emissions during the trip. </w:t>
      </w:r>
    </w:p>
    <w:p w14:paraId="1BEC6051" w14:textId="3DC9C0C3" w:rsidR="008703A9" w:rsidRDefault="008703A9" w:rsidP="000F1A32">
      <w:pPr>
        <w:spacing w:after="0" w:line="240" w:lineRule="auto"/>
      </w:pPr>
    </w:p>
    <w:p w14:paraId="7FF4D4C6" w14:textId="77777777" w:rsidR="000E1742" w:rsidRPr="003132CC" w:rsidRDefault="000E1742" w:rsidP="000F1A32">
      <w:pPr>
        <w:spacing w:after="0" w:line="240" w:lineRule="auto"/>
      </w:pPr>
    </w:p>
    <w:p w14:paraId="2AEB08EA" w14:textId="77777777" w:rsidR="001E5CAE" w:rsidRPr="00F26898" w:rsidRDefault="001E5CAE" w:rsidP="00C51EBD">
      <w:pPr>
        <w:pStyle w:val="Heading1"/>
      </w:pPr>
      <w:r w:rsidRPr="00F26898">
        <w:t>Acknowledgments</w:t>
      </w:r>
    </w:p>
    <w:p w14:paraId="46B46CA9" w14:textId="56D384C0" w:rsidR="001E5CAE" w:rsidRPr="00F26898" w:rsidRDefault="001E5CAE" w:rsidP="000F1A32">
      <w:pPr>
        <w:spacing w:after="0" w:line="240" w:lineRule="auto"/>
      </w:pPr>
      <w:r w:rsidRPr="00F26898">
        <w:t xml:space="preserve">This research effort was supported by </w:t>
      </w:r>
      <w:r w:rsidR="000E1742">
        <w:t xml:space="preserve">the Maritime Administration </w:t>
      </w:r>
      <w:r w:rsidRPr="00F26898">
        <w:t xml:space="preserve">of the U.S. Department of </w:t>
      </w:r>
      <w:r w:rsidR="000E1742">
        <w:t xml:space="preserve">Transportation </w:t>
      </w:r>
      <w:r w:rsidRPr="00F26898">
        <w:t xml:space="preserve">under </w:t>
      </w:r>
      <w:r w:rsidR="000E1742">
        <w:t xml:space="preserve">interagency agreement </w:t>
      </w:r>
      <w:r w:rsidR="000E1742" w:rsidRPr="000E1742">
        <w:t>6937JF718N000041</w:t>
      </w:r>
      <w:r w:rsidR="000E1742">
        <w:t xml:space="preserve"> with the U.S. Department of Energy. </w:t>
      </w:r>
      <w:r w:rsidRPr="00492DE1">
        <w:t xml:space="preserve">The views and opinions of the authors expressed herein do not necessarily state or reflect those of the </w:t>
      </w:r>
      <w:r>
        <w:t>U.S.</w:t>
      </w:r>
      <w:r w:rsidRPr="00492DE1">
        <w:t xml:space="preserve"> Government or any agency thereof. Neither the </w:t>
      </w:r>
      <w:r>
        <w:t>U.S.</w:t>
      </w:r>
      <w:r w:rsidRPr="00492DE1">
        <w:t xml:space="preserve"> Government nor any agency thereof, nor any of their employees, makes any warranty, expressed or implied, or assumes any legal liability or responsibility for </w:t>
      </w:r>
      <w:r w:rsidRPr="00492DE1">
        <w:lastRenderedPageBreak/>
        <w:t>the accuracy, completeness, or usefulness of any information, apparatus, product, or process disclosed, or represents that its use would not infringe privately owned rights.</w:t>
      </w:r>
      <w:r w:rsidRPr="00F26898">
        <w:t xml:space="preserve"> </w:t>
      </w:r>
    </w:p>
    <w:p w14:paraId="0729A6B3" w14:textId="77777777" w:rsidR="002A2264" w:rsidRDefault="002A2264" w:rsidP="00C51EBD">
      <w:pPr>
        <w:pStyle w:val="Heading1"/>
      </w:pPr>
    </w:p>
    <w:p w14:paraId="005367F5" w14:textId="0C1B1CB9" w:rsidR="002A2264" w:rsidRDefault="005A359F" w:rsidP="00C51EBD">
      <w:pPr>
        <w:pStyle w:val="Heading1"/>
      </w:pPr>
      <w:r>
        <w:t>References</w:t>
      </w:r>
    </w:p>
    <w:p w14:paraId="0FE15C22" w14:textId="77777777" w:rsidR="002A2264" w:rsidRPr="002A2264" w:rsidRDefault="002A2264" w:rsidP="000F1A32">
      <w:pPr>
        <w:spacing w:after="0" w:line="240" w:lineRule="auto"/>
      </w:pPr>
    </w:p>
    <w:p w14:paraId="7E7F77A4" w14:textId="77777777" w:rsidR="00EE5180" w:rsidRPr="00EE5180" w:rsidRDefault="00542631" w:rsidP="000F1A32">
      <w:pPr>
        <w:pStyle w:val="Bibliography"/>
        <w:rPr>
          <w:rFonts w:cs="Times New Roman"/>
        </w:rPr>
      </w:pPr>
      <w:r>
        <w:fldChar w:fldCharType="begin"/>
      </w:r>
      <w:r w:rsidR="00EE5180">
        <w:instrText xml:space="preserve"> ADDIN ZOTERO_BIBL {"uncited":[],"omitted":[],"custom":[]} CSL_BIBLIOGRAPHY </w:instrText>
      </w:r>
      <w:r>
        <w:fldChar w:fldCharType="separate"/>
      </w:r>
      <w:r w:rsidR="00EE5180" w:rsidRPr="00EE5180">
        <w:rPr>
          <w:rFonts w:cs="Times New Roman"/>
        </w:rPr>
        <w:t>[1]</w:t>
      </w:r>
      <w:r w:rsidR="00EE5180" w:rsidRPr="00EE5180">
        <w:rPr>
          <w:rFonts w:cs="Times New Roman"/>
        </w:rPr>
        <w:tab/>
        <w:t>Argonne. Greenhouse gases, Regulated Emissions, and Energy use in Transportation (GREET) Model. 2018.</w:t>
      </w:r>
    </w:p>
    <w:p w14:paraId="7B1DD213" w14:textId="520C62C2" w:rsidR="00EE5180" w:rsidRPr="00EE5180" w:rsidRDefault="00EE5180" w:rsidP="000F1A32">
      <w:pPr>
        <w:pStyle w:val="Bibliography"/>
        <w:rPr>
          <w:rFonts w:cs="Times New Roman"/>
        </w:rPr>
      </w:pPr>
      <w:r w:rsidRPr="00EE5180">
        <w:rPr>
          <w:rFonts w:cs="Times New Roman"/>
        </w:rPr>
        <w:t>[2]</w:t>
      </w:r>
      <w:r w:rsidRPr="00EE5180">
        <w:rPr>
          <w:rFonts w:cs="Times New Roman"/>
        </w:rPr>
        <w:tab/>
        <w:t>Adom F, Dunn JB, Elgowainy A, Han J, Wang M. Life cycle analysis of conventional and alternative marine fuels in GREET. Energy Syst Devision Argonne Natl Lab Argonne IL 2013:58.</w:t>
      </w:r>
    </w:p>
    <w:p w14:paraId="42111AB6" w14:textId="77777777" w:rsidR="00EE5180" w:rsidRPr="00EE5180" w:rsidRDefault="00EE5180" w:rsidP="000F1A32">
      <w:pPr>
        <w:pStyle w:val="Bibliography"/>
        <w:rPr>
          <w:rFonts w:cs="Times New Roman"/>
        </w:rPr>
      </w:pPr>
      <w:r w:rsidRPr="00EE5180">
        <w:rPr>
          <w:rFonts w:cs="Times New Roman"/>
        </w:rPr>
        <w:t>[3]</w:t>
      </w:r>
      <w:r w:rsidRPr="00EE5180">
        <w:rPr>
          <w:rFonts w:cs="Times New Roman"/>
        </w:rPr>
        <w:tab/>
        <w:t>Elgowainy A, Han J, Cai H, Wang M, Forman GS, DiVita VB. Energy Efficiency and Greenhouse Gas Emission Intensity of Petroleum Products at U.S. Refineries. Environ Sci Technol 2014;48:7612–24. doi:10.1021/es5010347.</w:t>
      </w:r>
    </w:p>
    <w:p w14:paraId="253AA30B" w14:textId="77777777" w:rsidR="00EE5180" w:rsidRPr="00EE5180" w:rsidRDefault="00EE5180" w:rsidP="000F1A32">
      <w:pPr>
        <w:pStyle w:val="Bibliography"/>
        <w:rPr>
          <w:rFonts w:cs="Times New Roman"/>
        </w:rPr>
      </w:pPr>
      <w:r w:rsidRPr="00EE5180">
        <w:rPr>
          <w:rFonts w:cs="Times New Roman"/>
        </w:rPr>
        <w:t>[4]</w:t>
      </w:r>
      <w:r w:rsidRPr="00EE5180">
        <w:rPr>
          <w:rFonts w:cs="Times New Roman"/>
        </w:rPr>
        <w:tab/>
        <w:t>Forman GS, Divita VB, Han J, Cai H, Elgowainy A, Wang M. U.S. Refinery Efficiency: Impacts Analysis and Implications for Fuel Carbon Policy Implementation. Environ Sci Technol 2014;48:7625–33. doi:10.1021/es501035a.</w:t>
      </w:r>
    </w:p>
    <w:p w14:paraId="558D9830" w14:textId="77777777" w:rsidR="00EE5180" w:rsidRPr="00EE5180" w:rsidRDefault="00EE5180" w:rsidP="000F1A32">
      <w:pPr>
        <w:pStyle w:val="Bibliography"/>
        <w:rPr>
          <w:rFonts w:cs="Times New Roman"/>
        </w:rPr>
      </w:pPr>
      <w:r w:rsidRPr="00EE5180">
        <w:rPr>
          <w:rFonts w:cs="Times New Roman"/>
        </w:rPr>
        <w:t>[5]</w:t>
      </w:r>
      <w:r w:rsidRPr="00EE5180">
        <w:rPr>
          <w:rFonts w:cs="Times New Roman"/>
        </w:rPr>
        <w:tab/>
        <w:t>Burnham A, Han J, Clark CE, Wang M, Dunn JB, Palou-Rivera I. Life-cycle greenhouse gas emissions of shale gas, natural gas, coal, and petroleum. Environ Sci Technol 2011;46:619–627.</w:t>
      </w:r>
    </w:p>
    <w:p w14:paraId="3414564F" w14:textId="77777777" w:rsidR="00EE5180" w:rsidRPr="00EE5180" w:rsidRDefault="00EE5180" w:rsidP="000F1A32">
      <w:pPr>
        <w:pStyle w:val="Bibliography"/>
        <w:rPr>
          <w:rFonts w:cs="Times New Roman"/>
        </w:rPr>
      </w:pPr>
      <w:r w:rsidRPr="00EE5180">
        <w:rPr>
          <w:rFonts w:cs="Times New Roman"/>
        </w:rPr>
        <w:t>[6]</w:t>
      </w:r>
      <w:r w:rsidRPr="00EE5180">
        <w:rPr>
          <w:rFonts w:cs="Times New Roman"/>
        </w:rPr>
        <w:tab/>
        <w:t>Cai H, Burnham A, Chen R, Wang M. Wells to wheels: Environmental implications of natural gas as a transportation fuel. Energy Policy 2017;109:565–578.</w:t>
      </w:r>
    </w:p>
    <w:p w14:paraId="0B3FEB9F" w14:textId="77777777" w:rsidR="00EE5180" w:rsidRPr="00EE5180" w:rsidRDefault="00EE5180" w:rsidP="000F1A32">
      <w:pPr>
        <w:pStyle w:val="Bibliography"/>
        <w:rPr>
          <w:rFonts w:cs="Times New Roman"/>
        </w:rPr>
      </w:pPr>
      <w:r w:rsidRPr="00EE5180">
        <w:rPr>
          <w:rFonts w:cs="Times New Roman"/>
        </w:rPr>
        <w:t>[7]</w:t>
      </w:r>
      <w:r w:rsidRPr="00EE5180">
        <w:rPr>
          <w:rFonts w:cs="Times New Roman"/>
        </w:rPr>
        <w:tab/>
        <w:t>Andrew Burnham. Updated natural gas pathways in the GREET1_2018 model 2018.</w:t>
      </w:r>
    </w:p>
    <w:p w14:paraId="2E3EDADA" w14:textId="77777777" w:rsidR="00EE5180" w:rsidRPr="00EE5180" w:rsidRDefault="00EE5180" w:rsidP="000F1A32">
      <w:pPr>
        <w:pStyle w:val="Bibliography"/>
        <w:rPr>
          <w:rFonts w:cs="Times New Roman"/>
        </w:rPr>
      </w:pPr>
      <w:r w:rsidRPr="00EE5180">
        <w:rPr>
          <w:rFonts w:cs="Times New Roman"/>
        </w:rPr>
        <w:t>[8]</w:t>
      </w:r>
      <w:r w:rsidRPr="00EE5180">
        <w:rPr>
          <w:rFonts w:cs="Times New Roman"/>
        </w:rPr>
        <w:tab/>
        <w:t>IPCC. IPCC Fifth Assessment Report. 2013.</w:t>
      </w:r>
    </w:p>
    <w:p w14:paraId="3C5E977D" w14:textId="77777777" w:rsidR="00EE5180" w:rsidRPr="00EE5180" w:rsidRDefault="00EE5180" w:rsidP="000F1A32">
      <w:pPr>
        <w:pStyle w:val="Bibliography"/>
        <w:rPr>
          <w:rFonts w:cs="Times New Roman"/>
        </w:rPr>
      </w:pPr>
      <w:r w:rsidRPr="00EE5180">
        <w:rPr>
          <w:rFonts w:cs="Times New Roman"/>
        </w:rPr>
        <w:t>[9]</w:t>
      </w:r>
      <w:r w:rsidRPr="00EE5180">
        <w:rPr>
          <w:rFonts w:cs="Times New Roman"/>
        </w:rPr>
        <w:tab/>
        <w:t>J MJ John, editor. Petroleum Processing Handbook. 1 edition. New York: CRC Press; 1992.</w:t>
      </w:r>
    </w:p>
    <w:p w14:paraId="13E67C64" w14:textId="77777777" w:rsidR="00EE5180" w:rsidRPr="00EE5180" w:rsidRDefault="00EE5180" w:rsidP="000F1A32">
      <w:pPr>
        <w:pStyle w:val="Bibliography"/>
        <w:rPr>
          <w:rFonts w:cs="Times New Roman"/>
        </w:rPr>
      </w:pPr>
      <w:r w:rsidRPr="00EE5180">
        <w:rPr>
          <w:rFonts w:cs="Times New Roman"/>
        </w:rPr>
        <w:t>[10]</w:t>
      </w:r>
      <w:r w:rsidRPr="00EE5180">
        <w:rPr>
          <w:rFonts w:cs="Times New Roman"/>
        </w:rPr>
        <w:tab/>
        <w:t>Eric Tan, Ling Tao. Economic Analysis of Renewable Fuels for Marine Propulsion. National Renewable Energy Laboratory; 2019.</w:t>
      </w:r>
    </w:p>
    <w:p w14:paraId="0C3EC3F9" w14:textId="77777777" w:rsidR="00EE5180" w:rsidRPr="00EE5180" w:rsidRDefault="00EE5180" w:rsidP="000F1A32">
      <w:pPr>
        <w:pStyle w:val="Bibliography"/>
        <w:rPr>
          <w:rFonts w:cs="Times New Roman"/>
        </w:rPr>
      </w:pPr>
      <w:r w:rsidRPr="00EE5180">
        <w:rPr>
          <w:rFonts w:cs="Times New Roman"/>
        </w:rPr>
        <w:t>[11]</w:t>
      </w:r>
      <w:r w:rsidRPr="00EE5180">
        <w:rPr>
          <w:rFonts w:cs="Times New Roman"/>
        </w:rPr>
        <w:tab/>
        <w:t>Zhang Y, Sahir AH, Tan ECD, Talmadge MS, Davis R, Biddy MJ, et al. Economic and environmental potentials for natural gas to enhance biomass-to-liquid fuels technologies. Green Chem 2018;20:5358–73. doi:10.1039/C8GC01257A.</w:t>
      </w:r>
    </w:p>
    <w:p w14:paraId="5EF0F169" w14:textId="77777777" w:rsidR="00EE5180" w:rsidRPr="00EE5180" w:rsidRDefault="00EE5180" w:rsidP="000F1A32">
      <w:pPr>
        <w:pStyle w:val="Bibliography"/>
        <w:rPr>
          <w:rFonts w:cs="Times New Roman"/>
        </w:rPr>
      </w:pPr>
      <w:r w:rsidRPr="00EE5180">
        <w:rPr>
          <w:rFonts w:cs="Times New Roman"/>
        </w:rPr>
        <w:t>[12]</w:t>
      </w:r>
      <w:r w:rsidRPr="00EE5180">
        <w:rPr>
          <w:rFonts w:cs="Times New Roman"/>
        </w:rPr>
        <w:tab/>
        <w:t>Jones S, Meyer P, Snowden-Swan L, Padmaperuma A, Tan E, Dutta A, et al. Process design and economics for the conversion of lignocellulosic biomass to hydrocarbon fuels: fast pyrolysis and hydrotreating bio-oil pathway. National Renewable Energy Laboratory (NREL), Golden, CO.; 2013.</w:t>
      </w:r>
    </w:p>
    <w:p w14:paraId="5C6A2DB2" w14:textId="77777777" w:rsidR="00EE5180" w:rsidRPr="00EE5180" w:rsidRDefault="00EE5180" w:rsidP="000F1A32">
      <w:pPr>
        <w:pStyle w:val="Bibliography"/>
        <w:rPr>
          <w:rFonts w:cs="Times New Roman"/>
        </w:rPr>
      </w:pPr>
      <w:r w:rsidRPr="00EE5180">
        <w:rPr>
          <w:rFonts w:cs="Times New Roman"/>
        </w:rPr>
        <w:t>[13]</w:t>
      </w:r>
      <w:r w:rsidRPr="00EE5180">
        <w:rPr>
          <w:rFonts w:cs="Times New Roman"/>
        </w:rPr>
        <w:tab/>
        <w:t>Tao L, Milbrandt A, Zhang Y, Wang W-C. Techno-economic and resource analysis of hydroprocessed renewable jet fuel. Biotechnol Biofuels 2017;10:261.</w:t>
      </w:r>
    </w:p>
    <w:p w14:paraId="7067FCB9" w14:textId="77777777" w:rsidR="00EE5180" w:rsidRPr="00EE5180" w:rsidRDefault="00EE5180" w:rsidP="000F1A32">
      <w:pPr>
        <w:pStyle w:val="Bibliography"/>
        <w:rPr>
          <w:rFonts w:cs="Times New Roman"/>
        </w:rPr>
      </w:pPr>
      <w:r w:rsidRPr="00EE5180">
        <w:rPr>
          <w:rFonts w:cs="Times New Roman"/>
        </w:rPr>
        <w:t>[14]</w:t>
      </w:r>
      <w:r w:rsidRPr="00EE5180">
        <w:rPr>
          <w:rFonts w:cs="Times New Roman"/>
        </w:rPr>
        <w:tab/>
        <w:t>IMO. Third IMO Greenhouse Gas Study 2014. Suffolk, UK: 2015.</w:t>
      </w:r>
    </w:p>
    <w:p w14:paraId="60573719" w14:textId="77777777" w:rsidR="00EE5180" w:rsidRPr="00EE5180" w:rsidRDefault="00EE5180" w:rsidP="000F1A32">
      <w:pPr>
        <w:pStyle w:val="Bibliography"/>
        <w:rPr>
          <w:rFonts w:cs="Times New Roman"/>
        </w:rPr>
      </w:pPr>
      <w:r w:rsidRPr="00EE5180">
        <w:rPr>
          <w:rFonts w:cs="Times New Roman"/>
        </w:rPr>
        <w:t>[15]</w:t>
      </w:r>
      <w:r w:rsidRPr="00EE5180">
        <w:rPr>
          <w:rFonts w:cs="Times New Roman"/>
        </w:rPr>
        <w:tab/>
        <w:t>Thomson H, Corbett JJ, Winebrake JJ. Natural gas as a marine fuel. Energy Policy 2015;87:153–67. doi:10.1016/j.enpol.2015.08.027.</w:t>
      </w:r>
    </w:p>
    <w:p w14:paraId="0CE99785" w14:textId="77777777" w:rsidR="00EE5180" w:rsidRPr="00EE5180" w:rsidRDefault="00EE5180" w:rsidP="000F1A32">
      <w:pPr>
        <w:pStyle w:val="Bibliography"/>
        <w:rPr>
          <w:rFonts w:cs="Times New Roman"/>
        </w:rPr>
      </w:pPr>
      <w:r w:rsidRPr="00EE5180">
        <w:rPr>
          <w:rFonts w:cs="Times New Roman"/>
        </w:rPr>
        <w:t>[16]</w:t>
      </w:r>
      <w:r w:rsidRPr="00EE5180">
        <w:rPr>
          <w:rFonts w:cs="Times New Roman"/>
        </w:rPr>
        <w:tab/>
        <w:t>EPA. Regulatory impact analysis: control of emissions of air pollution from category 3 marine diesel engines. US Environmental Protection Agency (EPA) USA; 2009.</w:t>
      </w:r>
    </w:p>
    <w:p w14:paraId="14BFFB55" w14:textId="78669032" w:rsidR="0033487B" w:rsidRDefault="00542631" w:rsidP="000F1A32">
      <w:pPr>
        <w:spacing w:after="0" w:line="240" w:lineRule="auto"/>
      </w:pPr>
      <w:r>
        <w:fldChar w:fldCharType="end"/>
      </w:r>
    </w:p>
    <w:p w14:paraId="1A6BEB29" w14:textId="5590D87F" w:rsidR="0033487B" w:rsidRDefault="0033487B" w:rsidP="000F1A32">
      <w:pPr>
        <w:spacing w:after="0" w:line="240" w:lineRule="auto"/>
        <w:jc w:val="left"/>
        <w:sectPr w:rsidR="0033487B" w:rsidSect="00051DDA">
          <w:footerReference w:type="default" r:id="rId17"/>
          <w:pgSz w:w="12240" w:h="15840"/>
          <w:pgMar w:top="1440" w:right="1440" w:bottom="1440" w:left="1440" w:header="720" w:footer="720" w:gutter="0"/>
          <w:cols w:space="720"/>
          <w:docGrid w:linePitch="360"/>
        </w:sectPr>
      </w:pPr>
      <w:r>
        <w:br w:type="page"/>
      </w:r>
    </w:p>
    <w:p w14:paraId="24C130A3" w14:textId="5226F1FF" w:rsidR="0033487B" w:rsidRDefault="0033487B" w:rsidP="000F1A32">
      <w:pPr>
        <w:spacing w:after="0" w:line="240" w:lineRule="auto"/>
      </w:pPr>
    </w:p>
    <w:p w14:paraId="2273A047" w14:textId="07F66181" w:rsidR="0033487B" w:rsidRDefault="0033487B" w:rsidP="00C51EBD">
      <w:pPr>
        <w:pStyle w:val="Heading1"/>
      </w:pPr>
      <w:r>
        <w:t>Appendix</w:t>
      </w:r>
      <w:r w:rsidR="003C2F94">
        <w:t xml:space="preserve"> A</w:t>
      </w:r>
    </w:p>
    <w:p w14:paraId="120758F9" w14:textId="09DE61A5" w:rsidR="003C2F94" w:rsidRPr="003C2F94" w:rsidRDefault="003C2F94" w:rsidP="000F1A32">
      <w:pPr>
        <w:pStyle w:val="Caption"/>
        <w:spacing w:after="0"/>
      </w:pPr>
      <w:bookmarkStart w:id="11" w:name="_Ref18351169"/>
      <w:bookmarkStart w:id="12" w:name="_Ref18351165"/>
      <w:r>
        <w:t>Table A</w:t>
      </w:r>
      <w:r w:rsidR="006D53AC">
        <w:rPr>
          <w:noProof/>
        </w:rPr>
        <w:fldChar w:fldCharType="begin"/>
      </w:r>
      <w:r w:rsidR="006D53AC">
        <w:rPr>
          <w:noProof/>
        </w:rPr>
        <w:instrText xml:space="preserve"> SEQ Table_A \* ARABIC </w:instrText>
      </w:r>
      <w:r w:rsidR="006D53AC">
        <w:rPr>
          <w:noProof/>
        </w:rPr>
        <w:fldChar w:fldCharType="separate"/>
      </w:r>
      <w:r w:rsidR="00AA250B">
        <w:rPr>
          <w:noProof/>
        </w:rPr>
        <w:t>1</w:t>
      </w:r>
      <w:r w:rsidR="006D53AC">
        <w:rPr>
          <w:noProof/>
        </w:rPr>
        <w:fldChar w:fldCharType="end"/>
      </w:r>
      <w:bookmarkEnd w:id="11"/>
      <w:r>
        <w:t>. Fuel Specifications</w:t>
      </w:r>
      <w:bookmarkEnd w:id="12"/>
    </w:p>
    <w:tbl>
      <w:tblPr>
        <w:tblW w:w="4888" w:type="pct"/>
        <w:tblLook w:val="04A0" w:firstRow="1" w:lastRow="0" w:firstColumn="1" w:lastColumn="0" w:noHBand="0" w:noVBand="1"/>
      </w:tblPr>
      <w:tblGrid>
        <w:gridCol w:w="2162"/>
        <w:gridCol w:w="1009"/>
        <w:gridCol w:w="1054"/>
        <w:gridCol w:w="1052"/>
        <w:gridCol w:w="1049"/>
        <w:gridCol w:w="1117"/>
        <w:gridCol w:w="1047"/>
        <w:gridCol w:w="1047"/>
        <w:gridCol w:w="1047"/>
        <w:gridCol w:w="1047"/>
        <w:gridCol w:w="1039"/>
      </w:tblGrid>
      <w:tr w:rsidR="003C2F94" w:rsidRPr="003C2F94" w14:paraId="6265D240" w14:textId="77777777" w:rsidTr="003C2F94">
        <w:trPr>
          <w:cantSplit/>
          <w:trHeight w:val="1584"/>
        </w:trPr>
        <w:tc>
          <w:tcPr>
            <w:tcW w:w="853" w:type="pct"/>
            <w:tcBorders>
              <w:top w:val="single" w:sz="4" w:space="0" w:color="auto"/>
              <w:bottom w:val="nil"/>
              <w:right w:val="nil"/>
            </w:tcBorders>
            <w:shd w:val="clear" w:color="auto" w:fill="auto"/>
            <w:noWrap/>
            <w:vAlign w:val="center"/>
            <w:hideMark/>
          </w:tcPr>
          <w:p w14:paraId="48D88D13" w14:textId="3611151D" w:rsidR="0033487B" w:rsidRPr="0033487B" w:rsidRDefault="0033487B" w:rsidP="000F1A32">
            <w:pPr>
              <w:spacing w:after="0" w:line="240" w:lineRule="auto"/>
              <w:jc w:val="center"/>
              <w:rPr>
                <w:rFonts w:eastAsia="Times New Roman" w:cs="Times New Roman"/>
                <w:b/>
                <w:bCs/>
                <w:sz w:val="18"/>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8DE1B" w14:textId="77777777"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Units</w:t>
            </w:r>
          </w:p>
        </w:tc>
        <w:tc>
          <w:tcPr>
            <w:tcW w:w="416" w:type="pct"/>
            <w:tcBorders>
              <w:top w:val="single" w:sz="4" w:space="0" w:color="auto"/>
              <w:left w:val="nil"/>
              <w:bottom w:val="single" w:sz="4" w:space="0" w:color="auto"/>
              <w:right w:val="nil"/>
            </w:tcBorders>
            <w:shd w:val="clear" w:color="000000" w:fill="FFFFFF"/>
            <w:textDirection w:val="btLr"/>
            <w:vAlign w:val="center"/>
            <w:hideMark/>
          </w:tcPr>
          <w:p w14:paraId="075D813D" w14:textId="77777777" w:rsidR="0033487B" w:rsidRPr="0033487B" w:rsidRDefault="0033487B"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HFO (2.7% sulfur)</w:t>
            </w:r>
          </w:p>
        </w:tc>
        <w:tc>
          <w:tcPr>
            <w:tcW w:w="415" w:type="pct"/>
            <w:tcBorders>
              <w:top w:val="single" w:sz="4" w:space="0" w:color="auto"/>
              <w:left w:val="nil"/>
              <w:bottom w:val="single" w:sz="4" w:space="0" w:color="auto"/>
              <w:right w:val="nil"/>
            </w:tcBorders>
            <w:shd w:val="clear" w:color="000000" w:fill="FFFFFF"/>
            <w:textDirection w:val="btLr"/>
            <w:vAlign w:val="center"/>
            <w:hideMark/>
          </w:tcPr>
          <w:p w14:paraId="2933A2F4" w14:textId="77777777" w:rsidR="0033487B" w:rsidRPr="0033487B" w:rsidRDefault="0033487B"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HFO (0.5% sulfur)</w:t>
            </w:r>
          </w:p>
        </w:tc>
        <w:tc>
          <w:tcPr>
            <w:tcW w:w="414"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3CFF4168" w14:textId="77777777" w:rsidR="0033487B" w:rsidRPr="0033487B" w:rsidRDefault="0033487B"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HFO (0.1% sulfur)</w:t>
            </w:r>
          </w:p>
        </w:tc>
        <w:tc>
          <w:tcPr>
            <w:tcW w:w="441" w:type="pct"/>
            <w:tcBorders>
              <w:top w:val="single" w:sz="4" w:space="0" w:color="auto"/>
              <w:left w:val="nil"/>
              <w:bottom w:val="single" w:sz="4" w:space="0" w:color="auto"/>
              <w:right w:val="nil"/>
            </w:tcBorders>
            <w:shd w:val="clear" w:color="000000" w:fill="FFFFFF"/>
            <w:textDirection w:val="btLr"/>
            <w:vAlign w:val="center"/>
            <w:hideMark/>
          </w:tcPr>
          <w:p w14:paraId="277D19A9" w14:textId="77777777" w:rsidR="0033487B" w:rsidRPr="0033487B" w:rsidRDefault="0033487B"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MDO (1.92% sulfur )</w:t>
            </w:r>
          </w:p>
        </w:tc>
        <w:tc>
          <w:tcPr>
            <w:tcW w:w="413" w:type="pct"/>
            <w:tcBorders>
              <w:top w:val="single" w:sz="4" w:space="0" w:color="auto"/>
              <w:left w:val="nil"/>
              <w:bottom w:val="single" w:sz="4" w:space="0" w:color="auto"/>
              <w:right w:val="nil"/>
            </w:tcBorders>
            <w:shd w:val="clear" w:color="000000" w:fill="FFFFFF"/>
            <w:textDirection w:val="btLr"/>
            <w:vAlign w:val="center"/>
            <w:hideMark/>
          </w:tcPr>
          <w:p w14:paraId="054E2AEF" w14:textId="77777777" w:rsidR="0033487B" w:rsidRPr="0033487B" w:rsidRDefault="0033487B"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MDO (0.5% sulfur)</w:t>
            </w:r>
          </w:p>
        </w:tc>
        <w:tc>
          <w:tcPr>
            <w:tcW w:w="413"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22D1D1B1" w14:textId="77777777" w:rsidR="0033487B" w:rsidRPr="0033487B" w:rsidRDefault="0033487B"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MDO (0.1% sulfur)</w:t>
            </w:r>
          </w:p>
        </w:tc>
        <w:tc>
          <w:tcPr>
            <w:tcW w:w="413" w:type="pct"/>
            <w:tcBorders>
              <w:top w:val="single" w:sz="4" w:space="0" w:color="auto"/>
              <w:left w:val="nil"/>
              <w:bottom w:val="single" w:sz="4" w:space="0" w:color="auto"/>
              <w:right w:val="nil"/>
            </w:tcBorders>
            <w:shd w:val="clear" w:color="auto" w:fill="auto"/>
            <w:textDirection w:val="btLr"/>
            <w:vAlign w:val="center"/>
            <w:hideMark/>
          </w:tcPr>
          <w:p w14:paraId="666635FC" w14:textId="77777777" w:rsidR="0033487B" w:rsidRPr="0033487B" w:rsidRDefault="0033487B"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MGO (1.0% sulfur)</w:t>
            </w:r>
          </w:p>
        </w:tc>
        <w:tc>
          <w:tcPr>
            <w:tcW w:w="413" w:type="pct"/>
            <w:tcBorders>
              <w:top w:val="single" w:sz="4" w:space="0" w:color="auto"/>
              <w:left w:val="nil"/>
              <w:bottom w:val="single" w:sz="4" w:space="0" w:color="auto"/>
              <w:right w:val="nil"/>
            </w:tcBorders>
            <w:shd w:val="clear" w:color="auto" w:fill="auto"/>
            <w:textDirection w:val="btLr"/>
            <w:vAlign w:val="center"/>
            <w:hideMark/>
          </w:tcPr>
          <w:p w14:paraId="7A31F7B5" w14:textId="77777777" w:rsidR="0033487B" w:rsidRPr="0033487B" w:rsidRDefault="0033487B"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MGO (0.5 % sulfur)</w:t>
            </w:r>
          </w:p>
        </w:tc>
        <w:tc>
          <w:tcPr>
            <w:tcW w:w="410" w:type="pct"/>
            <w:tcBorders>
              <w:top w:val="single" w:sz="4" w:space="0" w:color="auto"/>
              <w:left w:val="nil"/>
              <w:bottom w:val="single" w:sz="4" w:space="0" w:color="auto"/>
            </w:tcBorders>
            <w:shd w:val="clear" w:color="auto" w:fill="auto"/>
            <w:textDirection w:val="btLr"/>
            <w:vAlign w:val="center"/>
            <w:hideMark/>
          </w:tcPr>
          <w:p w14:paraId="69F8E1EC" w14:textId="77777777" w:rsidR="0033487B" w:rsidRPr="0033487B" w:rsidRDefault="0033487B"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MGO (0.1 % sulfur)</w:t>
            </w:r>
          </w:p>
        </w:tc>
      </w:tr>
      <w:tr w:rsidR="003C2F94" w:rsidRPr="003C2F94" w14:paraId="04B5E1E6" w14:textId="77777777" w:rsidTr="003C2F94">
        <w:trPr>
          <w:trHeight w:val="20"/>
        </w:trPr>
        <w:tc>
          <w:tcPr>
            <w:tcW w:w="853" w:type="pct"/>
            <w:tcBorders>
              <w:top w:val="nil"/>
              <w:bottom w:val="nil"/>
              <w:right w:val="nil"/>
            </w:tcBorders>
            <w:shd w:val="clear" w:color="auto" w:fill="auto"/>
            <w:noWrap/>
            <w:vAlign w:val="bottom"/>
            <w:hideMark/>
          </w:tcPr>
          <w:p w14:paraId="18D17AAB" w14:textId="3A3AF37C" w:rsidR="0033487B" w:rsidRPr="0033487B" w:rsidRDefault="00BE1255" w:rsidP="000F1A32">
            <w:pPr>
              <w:spacing w:after="0" w:line="240" w:lineRule="auto"/>
              <w:jc w:val="center"/>
              <w:rPr>
                <w:rFonts w:eastAsia="Times New Roman" w:cs="Times New Roman"/>
                <w:sz w:val="18"/>
                <w:szCs w:val="18"/>
              </w:rPr>
            </w:pPr>
            <w:r>
              <w:rPr>
                <w:rFonts w:eastAsia="Times New Roman" w:cs="Times New Roman"/>
                <w:sz w:val="18"/>
                <w:szCs w:val="18"/>
              </w:rPr>
              <w:t>Lower heating value</w:t>
            </w:r>
          </w:p>
        </w:tc>
        <w:tc>
          <w:tcPr>
            <w:tcW w:w="398" w:type="pct"/>
            <w:tcBorders>
              <w:top w:val="nil"/>
              <w:left w:val="single" w:sz="4" w:space="0" w:color="auto"/>
              <w:bottom w:val="nil"/>
              <w:right w:val="single" w:sz="4" w:space="0" w:color="auto"/>
            </w:tcBorders>
            <w:shd w:val="clear" w:color="auto" w:fill="auto"/>
            <w:noWrap/>
            <w:vAlign w:val="center"/>
            <w:hideMark/>
          </w:tcPr>
          <w:p w14:paraId="375BAF6A" w14:textId="77777777"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MJ/kg</w:t>
            </w:r>
          </w:p>
        </w:tc>
        <w:tc>
          <w:tcPr>
            <w:tcW w:w="416" w:type="pct"/>
            <w:tcBorders>
              <w:top w:val="nil"/>
              <w:left w:val="nil"/>
              <w:bottom w:val="nil"/>
              <w:right w:val="nil"/>
            </w:tcBorders>
            <w:shd w:val="clear" w:color="auto" w:fill="auto"/>
            <w:noWrap/>
            <w:vAlign w:val="bottom"/>
            <w:hideMark/>
          </w:tcPr>
          <w:p w14:paraId="53653F50"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39.5</w:t>
            </w:r>
          </w:p>
        </w:tc>
        <w:tc>
          <w:tcPr>
            <w:tcW w:w="415" w:type="pct"/>
            <w:tcBorders>
              <w:top w:val="nil"/>
              <w:left w:val="nil"/>
              <w:bottom w:val="nil"/>
              <w:right w:val="nil"/>
            </w:tcBorders>
            <w:shd w:val="clear" w:color="auto" w:fill="auto"/>
            <w:noWrap/>
            <w:vAlign w:val="bottom"/>
            <w:hideMark/>
          </w:tcPr>
          <w:p w14:paraId="6E3AB6AD"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39.5</w:t>
            </w:r>
          </w:p>
        </w:tc>
        <w:tc>
          <w:tcPr>
            <w:tcW w:w="414" w:type="pct"/>
            <w:tcBorders>
              <w:top w:val="nil"/>
              <w:left w:val="nil"/>
              <w:bottom w:val="nil"/>
              <w:right w:val="single" w:sz="4" w:space="0" w:color="auto"/>
            </w:tcBorders>
            <w:shd w:val="clear" w:color="auto" w:fill="auto"/>
            <w:noWrap/>
            <w:vAlign w:val="bottom"/>
            <w:hideMark/>
          </w:tcPr>
          <w:p w14:paraId="5D7F0A26"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39.5</w:t>
            </w:r>
          </w:p>
        </w:tc>
        <w:tc>
          <w:tcPr>
            <w:tcW w:w="441" w:type="pct"/>
            <w:tcBorders>
              <w:top w:val="nil"/>
              <w:left w:val="nil"/>
              <w:bottom w:val="nil"/>
              <w:right w:val="nil"/>
            </w:tcBorders>
            <w:shd w:val="clear" w:color="auto" w:fill="auto"/>
            <w:noWrap/>
            <w:vAlign w:val="bottom"/>
            <w:hideMark/>
          </w:tcPr>
          <w:p w14:paraId="6DB54505"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41.0</w:t>
            </w:r>
          </w:p>
        </w:tc>
        <w:tc>
          <w:tcPr>
            <w:tcW w:w="413" w:type="pct"/>
            <w:tcBorders>
              <w:top w:val="nil"/>
              <w:left w:val="nil"/>
              <w:bottom w:val="nil"/>
              <w:right w:val="nil"/>
            </w:tcBorders>
            <w:shd w:val="clear" w:color="auto" w:fill="auto"/>
            <w:noWrap/>
            <w:vAlign w:val="bottom"/>
            <w:hideMark/>
          </w:tcPr>
          <w:p w14:paraId="5E25BC43"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41.0</w:t>
            </w:r>
          </w:p>
        </w:tc>
        <w:tc>
          <w:tcPr>
            <w:tcW w:w="413" w:type="pct"/>
            <w:tcBorders>
              <w:top w:val="nil"/>
              <w:left w:val="nil"/>
              <w:bottom w:val="nil"/>
              <w:right w:val="single" w:sz="4" w:space="0" w:color="auto"/>
            </w:tcBorders>
            <w:shd w:val="clear" w:color="auto" w:fill="auto"/>
            <w:noWrap/>
            <w:vAlign w:val="bottom"/>
            <w:hideMark/>
          </w:tcPr>
          <w:p w14:paraId="68B44276"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41.0</w:t>
            </w:r>
          </w:p>
        </w:tc>
        <w:tc>
          <w:tcPr>
            <w:tcW w:w="413" w:type="pct"/>
            <w:tcBorders>
              <w:top w:val="nil"/>
              <w:left w:val="nil"/>
              <w:bottom w:val="nil"/>
              <w:right w:val="nil"/>
            </w:tcBorders>
            <w:shd w:val="clear" w:color="auto" w:fill="auto"/>
            <w:noWrap/>
            <w:vAlign w:val="bottom"/>
            <w:hideMark/>
          </w:tcPr>
          <w:p w14:paraId="666686D3"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42.8</w:t>
            </w:r>
          </w:p>
        </w:tc>
        <w:tc>
          <w:tcPr>
            <w:tcW w:w="413" w:type="pct"/>
            <w:tcBorders>
              <w:top w:val="nil"/>
              <w:left w:val="nil"/>
              <w:bottom w:val="nil"/>
              <w:right w:val="nil"/>
            </w:tcBorders>
            <w:shd w:val="clear" w:color="auto" w:fill="auto"/>
            <w:noWrap/>
            <w:vAlign w:val="bottom"/>
            <w:hideMark/>
          </w:tcPr>
          <w:p w14:paraId="064F4451"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42.8</w:t>
            </w:r>
          </w:p>
        </w:tc>
        <w:tc>
          <w:tcPr>
            <w:tcW w:w="410" w:type="pct"/>
            <w:tcBorders>
              <w:top w:val="nil"/>
              <w:left w:val="nil"/>
              <w:bottom w:val="nil"/>
            </w:tcBorders>
            <w:shd w:val="clear" w:color="auto" w:fill="auto"/>
            <w:noWrap/>
            <w:vAlign w:val="bottom"/>
            <w:hideMark/>
          </w:tcPr>
          <w:p w14:paraId="29FC8DFA"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42.8</w:t>
            </w:r>
          </w:p>
        </w:tc>
      </w:tr>
      <w:tr w:rsidR="003C2F94" w:rsidRPr="003C2F94" w14:paraId="75801379" w14:textId="77777777" w:rsidTr="003C2F94">
        <w:trPr>
          <w:trHeight w:val="20"/>
        </w:trPr>
        <w:tc>
          <w:tcPr>
            <w:tcW w:w="853" w:type="pct"/>
            <w:tcBorders>
              <w:top w:val="nil"/>
              <w:bottom w:val="nil"/>
              <w:right w:val="nil"/>
            </w:tcBorders>
            <w:shd w:val="clear" w:color="auto" w:fill="auto"/>
            <w:noWrap/>
            <w:vAlign w:val="bottom"/>
            <w:hideMark/>
          </w:tcPr>
          <w:p w14:paraId="29CFA761" w14:textId="38018370"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Density</w:t>
            </w:r>
          </w:p>
        </w:tc>
        <w:tc>
          <w:tcPr>
            <w:tcW w:w="398" w:type="pct"/>
            <w:tcBorders>
              <w:top w:val="nil"/>
              <w:left w:val="single" w:sz="4" w:space="0" w:color="auto"/>
              <w:bottom w:val="nil"/>
              <w:right w:val="single" w:sz="4" w:space="0" w:color="auto"/>
            </w:tcBorders>
            <w:shd w:val="clear" w:color="auto" w:fill="auto"/>
            <w:noWrap/>
            <w:vAlign w:val="center"/>
            <w:hideMark/>
          </w:tcPr>
          <w:p w14:paraId="1E550DC8" w14:textId="77777777"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kg/L</w:t>
            </w:r>
          </w:p>
        </w:tc>
        <w:tc>
          <w:tcPr>
            <w:tcW w:w="416" w:type="pct"/>
            <w:tcBorders>
              <w:top w:val="nil"/>
              <w:left w:val="nil"/>
              <w:bottom w:val="nil"/>
              <w:right w:val="nil"/>
            </w:tcBorders>
            <w:shd w:val="clear" w:color="auto" w:fill="auto"/>
            <w:noWrap/>
            <w:vAlign w:val="bottom"/>
            <w:hideMark/>
          </w:tcPr>
          <w:p w14:paraId="3FFE6775"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0.99</w:t>
            </w:r>
          </w:p>
        </w:tc>
        <w:tc>
          <w:tcPr>
            <w:tcW w:w="415" w:type="pct"/>
            <w:tcBorders>
              <w:top w:val="nil"/>
              <w:left w:val="nil"/>
              <w:bottom w:val="nil"/>
              <w:right w:val="nil"/>
            </w:tcBorders>
            <w:shd w:val="clear" w:color="auto" w:fill="auto"/>
            <w:noWrap/>
            <w:vAlign w:val="bottom"/>
            <w:hideMark/>
          </w:tcPr>
          <w:p w14:paraId="1DD3B704"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1.0</w:t>
            </w:r>
          </w:p>
        </w:tc>
        <w:tc>
          <w:tcPr>
            <w:tcW w:w="414" w:type="pct"/>
            <w:tcBorders>
              <w:top w:val="nil"/>
              <w:left w:val="nil"/>
              <w:bottom w:val="nil"/>
              <w:right w:val="single" w:sz="4" w:space="0" w:color="auto"/>
            </w:tcBorders>
            <w:shd w:val="clear" w:color="auto" w:fill="auto"/>
            <w:noWrap/>
            <w:vAlign w:val="bottom"/>
            <w:hideMark/>
          </w:tcPr>
          <w:p w14:paraId="5E20E12E"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1.0</w:t>
            </w:r>
          </w:p>
        </w:tc>
        <w:tc>
          <w:tcPr>
            <w:tcW w:w="441" w:type="pct"/>
            <w:tcBorders>
              <w:top w:val="nil"/>
              <w:left w:val="nil"/>
              <w:bottom w:val="nil"/>
              <w:right w:val="nil"/>
            </w:tcBorders>
            <w:shd w:val="clear" w:color="auto" w:fill="auto"/>
            <w:noWrap/>
            <w:vAlign w:val="bottom"/>
            <w:hideMark/>
          </w:tcPr>
          <w:p w14:paraId="2E6B7B8D"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0.91</w:t>
            </w:r>
          </w:p>
        </w:tc>
        <w:tc>
          <w:tcPr>
            <w:tcW w:w="413" w:type="pct"/>
            <w:tcBorders>
              <w:top w:val="nil"/>
              <w:left w:val="nil"/>
              <w:bottom w:val="nil"/>
              <w:right w:val="nil"/>
            </w:tcBorders>
            <w:shd w:val="clear" w:color="auto" w:fill="auto"/>
            <w:noWrap/>
            <w:vAlign w:val="bottom"/>
            <w:hideMark/>
          </w:tcPr>
          <w:p w14:paraId="6C6FA1E4"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0.91</w:t>
            </w:r>
          </w:p>
        </w:tc>
        <w:tc>
          <w:tcPr>
            <w:tcW w:w="413" w:type="pct"/>
            <w:tcBorders>
              <w:top w:val="nil"/>
              <w:left w:val="nil"/>
              <w:bottom w:val="nil"/>
              <w:right w:val="single" w:sz="4" w:space="0" w:color="auto"/>
            </w:tcBorders>
            <w:shd w:val="clear" w:color="auto" w:fill="auto"/>
            <w:noWrap/>
            <w:vAlign w:val="bottom"/>
            <w:hideMark/>
          </w:tcPr>
          <w:p w14:paraId="11A2A796"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0.91</w:t>
            </w:r>
          </w:p>
        </w:tc>
        <w:tc>
          <w:tcPr>
            <w:tcW w:w="413" w:type="pct"/>
            <w:tcBorders>
              <w:top w:val="nil"/>
              <w:left w:val="nil"/>
              <w:bottom w:val="nil"/>
              <w:right w:val="nil"/>
            </w:tcBorders>
            <w:shd w:val="clear" w:color="auto" w:fill="auto"/>
            <w:noWrap/>
            <w:vAlign w:val="bottom"/>
            <w:hideMark/>
          </w:tcPr>
          <w:p w14:paraId="2803CD6E"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0.84</w:t>
            </w:r>
          </w:p>
        </w:tc>
        <w:tc>
          <w:tcPr>
            <w:tcW w:w="413" w:type="pct"/>
            <w:tcBorders>
              <w:top w:val="nil"/>
              <w:left w:val="nil"/>
              <w:bottom w:val="nil"/>
              <w:right w:val="nil"/>
            </w:tcBorders>
            <w:shd w:val="clear" w:color="auto" w:fill="auto"/>
            <w:noWrap/>
            <w:vAlign w:val="bottom"/>
            <w:hideMark/>
          </w:tcPr>
          <w:p w14:paraId="34ECC7AF"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0.84</w:t>
            </w:r>
          </w:p>
        </w:tc>
        <w:tc>
          <w:tcPr>
            <w:tcW w:w="410" w:type="pct"/>
            <w:tcBorders>
              <w:top w:val="nil"/>
              <w:left w:val="nil"/>
              <w:bottom w:val="nil"/>
            </w:tcBorders>
            <w:shd w:val="clear" w:color="auto" w:fill="auto"/>
            <w:noWrap/>
            <w:vAlign w:val="bottom"/>
            <w:hideMark/>
          </w:tcPr>
          <w:p w14:paraId="7AB54C6D"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0.84</w:t>
            </w:r>
          </w:p>
        </w:tc>
      </w:tr>
      <w:tr w:rsidR="003C2F94" w:rsidRPr="003C2F94" w14:paraId="123D67E1" w14:textId="77777777" w:rsidTr="003C2F94">
        <w:trPr>
          <w:trHeight w:val="20"/>
        </w:trPr>
        <w:tc>
          <w:tcPr>
            <w:tcW w:w="853" w:type="pct"/>
            <w:tcBorders>
              <w:top w:val="nil"/>
              <w:bottom w:val="nil"/>
              <w:right w:val="nil"/>
            </w:tcBorders>
            <w:shd w:val="clear" w:color="auto" w:fill="auto"/>
            <w:noWrap/>
            <w:vAlign w:val="bottom"/>
            <w:hideMark/>
          </w:tcPr>
          <w:p w14:paraId="4D781167" w14:textId="2D1C27EB"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C ratio</w:t>
            </w:r>
          </w:p>
        </w:tc>
        <w:tc>
          <w:tcPr>
            <w:tcW w:w="398" w:type="pct"/>
            <w:tcBorders>
              <w:top w:val="nil"/>
              <w:left w:val="single" w:sz="4" w:space="0" w:color="auto"/>
              <w:bottom w:val="nil"/>
              <w:right w:val="single" w:sz="4" w:space="0" w:color="auto"/>
            </w:tcBorders>
            <w:shd w:val="clear" w:color="auto" w:fill="auto"/>
            <w:noWrap/>
            <w:vAlign w:val="center"/>
            <w:hideMark/>
          </w:tcPr>
          <w:p w14:paraId="12406D6B" w14:textId="77777777"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 by wt.</w:t>
            </w:r>
          </w:p>
        </w:tc>
        <w:tc>
          <w:tcPr>
            <w:tcW w:w="416" w:type="pct"/>
            <w:tcBorders>
              <w:top w:val="nil"/>
              <w:left w:val="nil"/>
              <w:bottom w:val="nil"/>
              <w:right w:val="nil"/>
            </w:tcBorders>
            <w:shd w:val="clear" w:color="auto" w:fill="auto"/>
            <w:noWrap/>
            <w:vAlign w:val="bottom"/>
            <w:hideMark/>
          </w:tcPr>
          <w:p w14:paraId="4CB262E9" w14:textId="7B6D0182"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87</w:t>
            </w:r>
          </w:p>
        </w:tc>
        <w:tc>
          <w:tcPr>
            <w:tcW w:w="415" w:type="pct"/>
            <w:tcBorders>
              <w:top w:val="nil"/>
              <w:left w:val="nil"/>
              <w:bottom w:val="nil"/>
              <w:right w:val="nil"/>
            </w:tcBorders>
            <w:shd w:val="clear" w:color="auto" w:fill="auto"/>
            <w:noWrap/>
            <w:vAlign w:val="bottom"/>
            <w:hideMark/>
          </w:tcPr>
          <w:p w14:paraId="72895198" w14:textId="1FDFCA7F"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9</w:t>
            </w:r>
            <w:r w:rsidR="00C3513D">
              <w:rPr>
                <w:rFonts w:eastAsia="Times New Roman" w:cs="Times New Roman"/>
                <w:sz w:val="18"/>
                <w:szCs w:val="18"/>
              </w:rPr>
              <w:t>0</w:t>
            </w:r>
          </w:p>
        </w:tc>
        <w:tc>
          <w:tcPr>
            <w:tcW w:w="414" w:type="pct"/>
            <w:tcBorders>
              <w:top w:val="nil"/>
              <w:left w:val="nil"/>
              <w:bottom w:val="nil"/>
              <w:right w:val="single" w:sz="4" w:space="0" w:color="auto"/>
            </w:tcBorders>
            <w:shd w:val="clear" w:color="auto" w:fill="auto"/>
            <w:noWrap/>
            <w:vAlign w:val="bottom"/>
            <w:hideMark/>
          </w:tcPr>
          <w:p w14:paraId="190C22F7" w14:textId="67681DC3"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9</w:t>
            </w:r>
            <w:r w:rsidR="00C3513D">
              <w:rPr>
                <w:rFonts w:eastAsia="Times New Roman" w:cs="Times New Roman"/>
                <w:sz w:val="18"/>
                <w:szCs w:val="18"/>
              </w:rPr>
              <w:t>0</w:t>
            </w:r>
          </w:p>
        </w:tc>
        <w:tc>
          <w:tcPr>
            <w:tcW w:w="441" w:type="pct"/>
            <w:tcBorders>
              <w:top w:val="nil"/>
              <w:left w:val="nil"/>
              <w:bottom w:val="nil"/>
              <w:right w:val="nil"/>
            </w:tcBorders>
            <w:shd w:val="clear" w:color="auto" w:fill="auto"/>
            <w:noWrap/>
            <w:vAlign w:val="bottom"/>
            <w:hideMark/>
          </w:tcPr>
          <w:p w14:paraId="01A62331" w14:textId="204AA173"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87</w:t>
            </w:r>
          </w:p>
        </w:tc>
        <w:tc>
          <w:tcPr>
            <w:tcW w:w="413" w:type="pct"/>
            <w:tcBorders>
              <w:top w:val="nil"/>
              <w:left w:val="nil"/>
              <w:bottom w:val="nil"/>
              <w:right w:val="nil"/>
            </w:tcBorders>
            <w:shd w:val="clear" w:color="auto" w:fill="auto"/>
            <w:noWrap/>
            <w:vAlign w:val="bottom"/>
            <w:hideMark/>
          </w:tcPr>
          <w:p w14:paraId="5DA0D0E3" w14:textId="6A2089EC"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87</w:t>
            </w:r>
          </w:p>
        </w:tc>
        <w:tc>
          <w:tcPr>
            <w:tcW w:w="413" w:type="pct"/>
            <w:tcBorders>
              <w:top w:val="nil"/>
              <w:left w:val="nil"/>
              <w:bottom w:val="nil"/>
              <w:right w:val="single" w:sz="4" w:space="0" w:color="auto"/>
            </w:tcBorders>
            <w:shd w:val="clear" w:color="auto" w:fill="auto"/>
            <w:noWrap/>
            <w:vAlign w:val="bottom"/>
            <w:hideMark/>
          </w:tcPr>
          <w:p w14:paraId="7D7A763E" w14:textId="7D581812"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87</w:t>
            </w:r>
          </w:p>
        </w:tc>
        <w:tc>
          <w:tcPr>
            <w:tcW w:w="413" w:type="pct"/>
            <w:tcBorders>
              <w:top w:val="nil"/>
              <w:left w:val="nil"/>
              <w:bottom w:val="nil"/>
              <w:right w:val="nil"/>
            </w:tcBorders>
            <w:shd w:val="clear" w:color="auto" w:fill="auto"/>
            <w:noWrap/>
            <w:vAlign w:val="bottom"/>
            <w:hideMark/>
          </w:tcPr>
          <w:p w14:paraId="5E1735C3" w14:textId="37A0559D"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87</w:t>
            </w:r>
          </w:p>
        </w:tc>
        <w:tc>
          <w:tcPr>
            <w:tcW w:w="413" w:type="pct"/>
            <w:tcBorders>
              <w:top w:val="nil"/>
              <w:left w:val="nil"/>
              <w:bottom w:val="nil"/>
              <w:right w:val="nil"/>
            </w:tcBorders>
            <w:shd w:val="clear" w:color="auto" w:fill="auto"/>
            <w:noWrap/>
            <w:vAlign w:val="bottom"/>
            <w:hideMark/>
          </w:tcPr>
          <w:p w14:paraId="3B7662D1" w14:textId="1D01313E"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87</w:t>
            </w:r>
          </w:p>
        </w:tc>
        <w:tc>
          <w:tcPr>
            <w:tcW w:w="410" w:type="pct"/>
            <w:tcBorders>
              <w:top w:val="nil"/>
              <w:left w:val="nil"/>
              <w:bottom w:val="nil"/>
            </w:tcBorders>
            <w:shd w:val="clear" w:color="auto" w:fill="auto"/>
            <w:noWrap/>
            <w:vAlign w:val="bottom"/>
            <w:hideMark/>
          </w:tcPr>
          <w:p w14:paraId="47B9B1C2" w14:textId="51CADCC2"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87</w:t>
            </w:r>
          </w:p>
        </w:tc>
      </w:tr>
      <w:tr w:rsidR="003C2F94" w:rsidRPr="003C2F94" w14:paraId="66A5D3C9" w14:textId="77777777" w:rsidTr="003C2F94">
        <w:trPr>
          <w:trHeight w:val="20"/>
        </w:trPr>
        <w:tc>
          <w:tcPr>
            <w:tcW w:w="853" w:type="pct"/>
            <w:tcBorders>
              <w:top w:val="nil"/>
              <w:bottom w:val="single" w:sz="4" w:space="0" w:color="auto"/>
              <w:right w:val="nil"/>
            </w:tcBorders>
            <w:shd w:val="clear" w:color="auto" w:fill="auto"/>
            <w:noWrap/>
            <w:vAlign w:val="bottom"/>
            <w:hideMark/>
          </w:tcPr>
          <w:p w14:paraId="58C6D22B" w14:textId="2C34401C"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S ratio</w:t>
            </w:r>
          </w:p>
        </w:tc>
        <w:tc>
          <w:tcPr>
            <w:tcW w:w="398" w:type="pct"/>
            <w:tcBorders>
              <w:top w:val="nil"/>
              <w:left w:val="single" w:sz="4" w:space="0" w:color="auto"/>
              <w:bottom w:val="nil"/>
              <w:right w:val="single" w:sz="4" w:space="0" w:color="auto"/>
            </w:tcBorders>
            <w:shd w:val="clear" w:color="auto" w:fill="auto"/>
            <w:noWrap/>
            <w:vAlign w:val="center"/>
            <w:hideMark/>
          </w:tcPr>
          <w:p w14:paraId="5E7994A2" w14:textId="77777777"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 by wt.</w:t>
            </w:r>
          </w:p>
        </w:tc>
        <w:tc>
          <w:tcPr>
            <w:tcW w:w="416" w:type="pct"/>
            <w:tcBorders>
              <w:top w:val="nil"/>
              <w:left w:val="nil"/>
              <w:bottom w:val="nil"/>
              <w:right w:val="nil"/>
            </w:tcBorders>
            <w:shd w:val="clear" w:color="auto" w:fill="auto"/>
            <w:noWrap/>
            <w:vAlign w:val="bottom"/>
            <w:hideMark/>
          </w:tcPr>
          <w:p w14:paraId="794802F5" w14:textId="6E83D205"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2.70</w:t>
            </w:r>
          </w:p>
        </w:tc>
        <w:tc>
          <w:tcPr>
            <w:tcW w:w="415" w:type="pct"/>
            <w:tcBorders>
              <w:top w:val="nil"/>
              <w:left w:val="nil"/>
              <w:bottom w:val="nil"/>
              <w:right w:val="nil"/>
            </w:tcBorders>
            <w:shd w:val="clear" w:color="auto" w:fill="auto"/>
            <w:noWrap/>
            <w:vAlign w:val="bottom"/>
            <w:hideMark/>
          </w:tcPr>
          <w:p w14:paraId="5AA677B9" w14:textId="521CF7F6"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0.50</w:t>
            </w:r>
          </w:p>
        </w:tc>
        <w:tc>
          <w:tcPr>
            <w:tcW w:w="414" w:type="pct"/>
            <w:tcBorders>
              <w:top w:val="nil"/>
              <w:left w:val="nil"/>
              <w:bottom w:val="nil"/>
              <w:right w:val="single" w:sz="4" w:space="0" w:color="auto"/>
            </w:tcBorders>
            <w:shd w:val="clear" w:color="auto" w:fill="auto"/>
            <w:noWrap/>
            <w:vAlign w:val="bottom"/>
            <w:hideMark/>
          </w:tcPr>
          <w:p w14:paraId="3F4BE4D3" w14:textId="3C6172CE"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0.10</w:t>
            </w:r>
          </w:p>
        </w:tc>
        <w:tc>
          <w:tcPr>
            <w:tcW w:w="441" w:type="pct"/>
            <w:tcBorders>
              <w:top w:val="nil"/>
              <w:left w:val="nil"/>
              <w:bottom w:val="single" w:sz="4" w:space="0" w:color="auto"/>
              <w:right w:val="nil"/>
            </w:tcBorders>
            <w:shd w:val="clear" w:color="auto" w:fill="auto"/>
            <w:noWrap/>
            <w:vAlign w:val="bottom"/>
            <w:hideMark/>
          </w:tcPr>
          <w:p w14:paraId="5D964CB7" w14:textId="017E2BE5"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1.92</w:t>
            </w:r>
          </w:p>
        </w:tc>
        <w:tc>
          <w:tcPr>
            <w:tcW w:w="413" w:type="pct"/>
            <w:tcBorders>
              <w:top w:val="nil"/>
              <w:left w:val="nil"/>
              <w:bottom w:val="single" w:sz="4" w:space="0" w:color="auto"/>
              <w:right w:val="nil"/>
            </w:tcBorders>
            <w:shd w:val="clear" w:color="auto" w:fill="auto"/>
            <w:noWrap/>
            <w:vAlign w:val="bottom"/>
            <w:hideMark/>
          </w:tcPr>
          <w:p w14:paraId="6A09EF0E" w14:textId="6066A89C"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0.50</w:t>
            </w:r>
          </w:p>
        </w:tc>
        <w:tc>
          <w:tcPr>
            <w:tcW w:w="413" w:type="pct"/>
            <w:tcBorders>
              <w:top w:val="nil"/>
              <w:left w:val="nil"/>
              <w:bottom w:val="single" w:sz="4" w:space="0" w:color="auto"/>
              <w:right w:val="single" w:sz="4" w:space="0" w:color="auto"/>
            </w:tcBorders>
            <w:shd w:val="clear" w:color="auto" w:fill="auto"/>
            <w:noWrap/>
            <w:vAlign w:val="bottom"/>
            <w:hideMark/>
          </w:tcPr>
          <w:p w14:paraId="1A24DF7A" w14:textId="5D5F6042"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0.10</w:t>
            </w:r>
          </w:p>
        </w:tc>
        <w:tc>
          <w:tcPr>
            <w:tcW w:w="413" w:type="pct"/>
            <w:tcBorders>
              <w:top w:val="nil"/>
              <w:left w:val="single" w:sz="4" w:space="0" w:color="auto"/>
              <w:bottom w:val="nil"/>
              <w:right w:val="nil"/>
            </w:tcBorders>
            <w:shd w:val="clear" w:color="auto" w:fill="auto"/>
            <w:noWrap/>
            <w:vAlign w:val="bottom"/>
            <w:hideMark/>
          </w:tcPr>
          <w:p w14:paraId="139E1AAC" w14:textId="2EFCA562"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1.00</w:t>
            </w:r>
          </w:p>
        </w:tc>
        <w:tc>
          <w:tcPr>
            <w:tcW w:w="413" w:type="pct"/>
            <w:tcBorders>
              <w:top w:val="nil"/>
              <w:left w:val="nil"/>
              <w:bottom w:val="nil"/>
              <w:right w:val="nil"/>
            </w:tcBorders>
            <w:shd w:val="clear" w:color="auto" w:fill="auto"/>
            <w:noWrap/>
            <w:vAlign w:val="bottom"/>
            <w:hideMark/>
          </w:tcPr>
          <w:p w14:paraId="3371F9AC" w14:textId="2D617F8A"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0.50</w:t>
            </w:r>
          </w:p>
        </w:tc>
        <w:tc>
          <w:tcPr>
            <w:tcW w:w="410" w:type="pct"/>
            <w:tcBorders>
              <w:top w:val="nil"/>
              <w:left w:val="nil"/>
              <w:bottom w:val="nil"/>
            </w:tcBorders>
            <w:shd w:val="clear" w:color="auto" w:fill="auto"/>
            <w:noWrap/>
            <w:vAlign w:val="bottom"/>
            <w:hideMark/>
          </w:tcPr>
          <w:p w14:paraId="36841660" w14:textId="106689EF"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0.10</w:t>
            </w:r>
          </w:p>
        </w:tc>
      </w:tr>
      <w:tr w:rsidR="003C2F94" w:rsidRPr="003C2F94" w14:paraId="6632078B" w14:textId="77777777" w:rsidTr="003C2F94">
        <w:trPr>
          <w:trHeight w:val="20"/>
        </w:trPr>
        <w:tc>
          <w:tcPr>
            <w:tcW w:w="853" w:type="pct"/>
            <w:tcBorders>
              <w:top w:val="nil"/>
              <w:bottom w:val="single" w:sz="4" w:space="0" w:color="auto"/>
              <w:right w:val="nil"/>
            </w:tcBorders>
            <w:shd w:val="clear" w:color="auto" w:fill="auto"/>
            <w:noWrap/>
            <w:vAlign w:val="bottom"/>
            <w:hideMark/>
          </w:tcPr>
          <w:p w14:paraId="02BAC0FB" w14:textId="6B8C2E90"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Biogenic carbon share</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136E" w14:textId="77777777" w:rsidR="0033487B" w:rsidRPr="0033487B" w:rsidRDefault="0033487B" w:rsidP="000F1A32">
            <w:pPr>
              <w:spacing w:after="0" w:line="240" w:lineRule="auto"/>
              <w:jc w:val="center"/>
              <w:rPr>
                <w:rFonts w:eastAsia="Times New Roman" w:cs="Times New Roman"/>
                <w:sz w:val="18"/>
                <w:szCs w:val="18"/>
              </w:rPr>
            </w:pPr>
            <w:r w:rsidRPr="0033487B">
              <w:rPr>
                <w:rFonts w:eastAsia="Times New Roman" w:cs="Times New Roman"/>
                <w:sz w:val="18"/>
                <w:szCs w:val="18"/>
              </w:rPr>
              <w:t>%  by wt.</w:t>
            </w:r>
          </w:p>
        </w:tc>
        <w:tc>
          <w:tcPr>
            <w:tcW w:w="416" w:type="pct"/>
            <w:tcBorders>
              <w:top w:val="single" w:sz="4" w:space="0" w:color="auto"/>
              <w:left w:val="nil"/>
              <w:bottom w:val="single" w:sz="4" w:space="0" w:color="auto"/>
              <w:right w:val="nil"/>
            </w:tcBorders>
            <w:shd w:val="clear" w:color="auto" w:fill="auto"/>
            <w:noWrap/>
            <w:vAlign w:val="bottom"/>
            <w:hideMark/>
          </w:tcPr>
          <w:p w14:paraId="39185049"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415" w:type="pct"/>
            <w:tcBorders>
              <w:top w:val="single" w:sz="4" w:space="0" w:color="auto"/>
              <w:left w:val="nil"/>
              <w:bottom w:val="single" w:sz="4" w:space="0" w:color="auto"/>
              <w:right w:val="nil"/>
            </w:tcBorders>
            <w:shd w:val="clear" w:color="auto" w:fill="auto"/>
            <w:noWrap/>
            <w:vAlign w:val="bottom"/>
            <w:hideMark/>
          </w:tcPr>
          <w:p w14:paraId="74CCCB85"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6FA8A6B3"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441" w:type="pct"/>
            <w:tcBorders>
              <w:top w:val="nil"/>
              <w:left w:val="nil"/>
              <w:bottom w:val="single" w:sz="4" w:space="0" w:color="auto"/>
              <w:right w:val="nil"/>
            </w:tcBorders>
            <w:shd w:val="clear" w:color="auto" w:fill="auto"/>
            <w:noWrap/>
            <w:vAlign w:val="bottom"/>
            <w:hideMark/>
          </w:tcPr>
          <w:p w14:paraId="341004C2"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413" w:type="pct"/>
            <w:tcBorders>
              <w:top w:val="nil"/>
              <w:left w:val="nil"/>
              <w:bottom w:val="single" w:sz="4" w:space="0" w:color="auto"/>
              <w:right w:val="nil"/>
            </w:tcBorders>
            <w:shd w:val="clear" w:color="auto" w:fill="auto"/>
            <w:noWrap/>
            <w:vAlign w:val="bottom"/>
            <w:hideMark/>
          </w:tcPr>
          <w:p w14:paraId="65935752"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6089E49D"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413" w:type="pct"/>
            <w:tcBorders>
              <w:top w:val="single" w:sz="4" w:space="0" w:color="auto"/>
              <w:left w:val="nil"/>
              <w:bottom w:val="single" w:sz="4" w:space="0" w:color="auto"/>
              <w:right w:val="nil"/>
            </w:tcBorders>
            <w:shd w:val="clear" w:color="auto" w:fill="auto"/>
            <w:noWrap/>
            <w:vAlign w:val="bottom"/>
            <w:hideMark/>
          </w:tcPr>
          <w:p w14:paraId="25145698"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413" w:type="pct"/>
            <w:tcBorders>
              <w:top w:val="single" w:sz="4" w:space="0" w:color="auto"/>
              <w:left w:val="nil"/>
              <w:bottom w:val="single" w:sz="4" w:space="0" w:color="auto"/>
              <w:right w:val="nil"/>
            </w:tcBorders>
            <w:shd w:val="clear" w:color="auto" w:fill="auto"/>
            <w:noWrap/>
            <w:vAlign w:val="bottom"/>
            <w:hideMark/>
          </w:tcPr>
          <w:p w14:paraId="184ACCDA"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410" w:type="pct"/>
            <w:tcBorders>
              <w:top w:val="single" w:sz="4" w:space="0" w:color="auto"/>
              <w:left w:val="nil"/>
              <w:bottom w:val="single" w:sz="4" w:space="0" w:color="auto"/>
            </w:tcBorders>
            <w:shd w:val="clear" w:color="auto" w:fill="auto"/>
            <w:noWrap/>
            <w:vAlign w:val="bottom"/>
            <w:hideMark/>
          </w:tcPr>
          <w:p w14:paraId="08A1938D" w14:textId="77777777" w:rsidR="0033487B" w:rsidRPr="0033487B" w:rsidRDefault="0033487B"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r>
    </w:tbl>
    <w:p w14:paraId="28583B23" w14:textId="77777777" w:rsidR="0033487B" w:rsidRPr="0033487B" w:rsidRDefault="0033487B" w:rsidP="000F1A32">
      <w:pPr>
        <w:spacing w:after="0" w:line="240" w:lineRule="auto"/>
      </w:pPr>
    </w:p>
    <w:tbl>
      <w:tblPr>
        <w:tblW w:w="5092" w:type="pct"/>
        <w:tblLayout w:type="fixed"/>
        <w:tblLook w:val="04A0" w:firstRow="1" w:lastRow="0" w:firstColumn="1" w:lastColumn="0" w:noHBand="0" w:noVBand="1"/>
      </w:tblPr>
      <w:tblGrid>
        <w:gridCol w:w="2165"/>
        <w:gridCol w:w="1012"/>
        <w:gridCol w:w="744"/>
        <w:gridCol w:w="992"/>
        <w:gridCol w:w="1011"/>
        <w:gridCol w:w="1156"/>
        <w:gridCol w:w="1148"/>
        <w:gridCol w:w="1008"/>
        <w:gridCol w:w="958"/>
        <w:gridCol w:w="1040"/>
        <w:gridCol w:w="1103"/>
        <w:gridCol w:w="861"/>
      </w:tblGrid>
      <w:tr w:rsidR="003C2F94" w:rsidRPr="003C2F94" w14:paraId="5B278DEB" w14:textId="77777777" w:rsidTr="003C2F94">
        <w:trPr>
          <w:cantSplit/>
          <w:trHeight w:val="1584"/>
        </w:trPr>
        <w:tc>
          <w:tcPr>
            <w:tcW w:w="820" w:type="pct"/>
            <w:tcBorders>
              <w:top w:val="single" w:sz="4" w:space="0" w:color="auto"/>
              <w:left w:val="nil"/>
              <w:bottom w:val="single" w:sz="4" w:space="0" w:color="auto"/>
              <w:right w:val="single" w:sz="4" w:space="0" w:color="auto"/>
            </w:tcBorders>
            <w:vAlign w:val="center"/>
          </w:tcPr>
          <w:p w14:paraId="6F9A0C3B" w14:textId="23AC9898" w:rsidR="003C2F94" w:rsidRPr="003C2F94" w:rsidRDefault="003C2F94" w:rsidP="000F1A32">
            <w:pPr>
              <w:spacing w:after="0" w:line="240" w:lineRule="auto"/>
              <w:jc w:val="center"/>
              <w:rPr>
                <w:rFonts w:eastAsia="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40FC5C2" w14:textId="16969227"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Units</w:t>
            </w:r>
          </w:p>
        </w:tc>
        <w:tc>
          <w:tcPr>
            <w:tcW w:w="282" w:type="pct"/>
            <w:tcBorders>
              <w:top w:val="single" w:sz="4" w:space="0" w:color="auto"/>
              <w:left w:val="single" w:sz="4" w:space="0" w:color="auto"/>
              <w:bottom w:val="single" w:sz="4" w:space="0" w:color="auto"/>
              <w:right w:val="nil"/>
            </w:tcBorders>
            <w:shd w:val="clear" w:color="auto" w:fill="auto"/>
            <w:textDirection w:val="btLr"/>
            <w:vAlign w:val="center"/>
            <w:hideMark/>
          </w:tcPr>
          <w:p w14:paraId="0E4EF99D" w14:textId="6D49D225"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FT-Diesel (NG)</w:t>
            </w:r>
          </w:p>
        </w:tc>
        <w:tc>
          <w:tcPr>
            <w:tcW w:w="3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CAA70C" w14:textId="77777777"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Liquefied Natural Gas (LNG)</w:t>
            </w:r>
          </w:p>
        </w:tc>
        <w:tc>
          <w:tcPr>
            <w:tcW w:w="3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77734E1" w14:textId="77777777"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FT-Diesel (Biomass&amp;Coal)</w:t>
            </w:r>
          </w:p>
        </w:tc>
        <w:tc>
          <w:tcPr>
            <w:tcW w:w="43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345416" w14:textId="77777777"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Renewable diesel (Yellow grease&amp;HFO)</w:t>
            </w:r>
          </w:p>
        </w:tc>
        <w:tc>
          <w:tcPr>
            <w:tcW w:w="435" w:type="pct"/>
            <w:tcBorders>
              <w:top w:val="single" w:sz="4" w:space="0" w:color="auto"/>
              <w:left w:val="nil"/>
              <w:bottom w:val="single" w:sz="4" w:space="0" w:color="auto"/>
              <w:right w:val="nil"/>
            </w:tcBorders>
            <w:shd w:val="clear" w:color="auto" w:fill="auto"/>
            <w:textDirection w:val="btLr"/>
            <w:vAlign w:val="center"/>
            <w:hideMark/>
          </w:tcPr>
          <w:p w14:paraId="298A9A3F" w14:textId="77777777"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FT-Diesel (Biomass&amp;NG)</w:t>
            </w:r>
          </w:p>
        </w:tc>
        <w:tc>
          <w:tcPr>
            <w:tcW w:w="38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4C3CF3" w14:textId="77777777"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Straight Vegetable Oil (SVO)</w:t>
            </w:r>
          </w:p>
        </w:tc>
        <w:tc>
          <w:tcPr>
            <w:tcW w:w="363" w:type="pct"/>
            <w:tcBorders>
              <w:top w:val="single" w:sz="4" w:space="0" w:color="auto"/>
              <w:left w:val="nil"/>
              <w:bottom w:val="single" w:sz="4" w:space="0" w:color="auto"/>
              <w:right w:val="nil"/>
            </w:tcBorders>
            <w:shd w:val="clear" w:color="auto" w:fill="auto"/>
            <w:textDirection w:val="btLr"/>
            <w:vAlign w:val="center"/>
            <w:hideMark/>
          </w:tcPr>
          <w:p w14:paraId="18CB1CDB" w14:textId="77777777"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Pyrolysis oil (Woody biomass)</w:t>
            </w:r>
          </w:p>
        </w:tc>
        <w:tc>
          <w:tcPr>
            <w:tcW w:w="394" w:type="pct"/>
            <w:tcBorders>
              <w:top w:val="single" w:sz="4" w:space="0" w:color="auto"/>
              <w:left w:val="single" w:sz="4" w:space="0" w:color="auto"/>
              <w:bottom w:val="single" w:sz="4" w:space="0" w:color="auto"/>
              <w:right w:val="nil"/>
            </w:tcBorders>
            <w:shd w:val="clear" w:color="auto" w:fill="auto"/>
            <w:textDirection w:val="btLr"/>
            <w:vAlign w:val="center"/>
            <w:hideMark/>
          </w:tcPr>
          <w:p w14:paraId="431ECA96" w14:textId="77777777"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FT-Diesel (Biomass)</w:t>
            </w:r>
          </w:p>
        </w:tc>
        <w:tc>
          <w:tcPr>
            <w:tcW w:w="4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4EABD8" w14:textId="77777777"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Renewable diesel (Yellow grease)</w:t>
            </w:r>
          </w:p>
        </w:tc>
        <w:tc>
          <w:tcPr>
            <w:tcW w:w="326" w:type="pct"/>
            <w:tcBorders>
              <w:top w:val="single" w:sz="4" w:space="0" w:color="auto"/>
              <w:left w:val="nil"/>
              <w:bottom w:val="single" w:sz="4" w:space="0" w:color="auto"/>
            </w:tcBorders>
            <w:shd w:val="clear" w:color="000000" w:fill="FFFFFF"/>
            <w:textDirection w:val="btLr"/>
            <w:vAlign w:val="center"/>
            <w:hideMark/>
          </w:tcPr>
          <w:p w14:paraId="58233EA8" w14:textId="77777777" w:rsidR="003C2F94" w:rsidRPr="0033487B" w:rsidRDefault="003C2F94" w:rsidP="000F1A32">
            <w:pPr>
              <w:spacing w:after="0" w:line="240" w:lineRule="auto"/>
              <w:ind w:left="113" w:right="113"/>
              <w:jc w:val="center"/>
              <w:rPr>
                <w:rFonts w:eastAsia="Times New Roman" w:cs="Times New Roman"/>
                <w:sz w:val="18"/>
                <w:szCs w:val="18"/>
              </w:rPr>
            </w:pPr>
            <w:r w:rsidRPr="0033487B">
              <w:rPr>
                <w:rFonts w:eastAsia="Times New Roman" w:cs="Times New Roman"/>
                <w:sz w:val="18"/>
                <w:szCs w:val="18"/>
              </w:rPr>
              <w:t>Biodiesel</w:t>
            </w:r>
          </w:p>
        </w:tc>
      </w:tr>
      <w:tr w:rsidR="003C2F94" w:rsidRPr="003C2F94" w14:paraId="5579DAA7" w14:textId="77777777" w:rsidTr="003C2F94">
        <w:trPr>
          <w:trHeight w:val="20"/>
        </w:trPr>
        <w:tc>
          <w:tcPr>
            <w:tcW w:w="820" w:type="pct"/>
            <w:tcBorders>
              <w:top w:val="nil"/>
              <w:left w:val="nil"/>
              <w:bottom w:val="nil"/>
              <w:right w:val="single" w:sz="4" w:space="0" w:color="auto"/>
            </w:tcBorders>
            <w:vAlign w:val="bottom"/>
          </w:tcPr>
          <w:p w14:paraId="573587EF" w14:textId="787C5F89" w:rsidR="003C2F94" w:rsidRPr="003C2F94" w:rsidRDefault="00BE1255" w:rsidP="000F1A32">
            <w:pPr>
              <w:spacing w:after="0" w:line="240" w:lineRule="auto"/>
              <w:jc w:val="center"/>
              <w:rPr>
                <w:rFonts w:eastAsia="Times New Roman" w:cs="Times New Roman"/>
                <w:sz w:val="18"/>
                <w:szCs w:val="18"/>
              </w:rPr>
            </w:pPr>
            <w:r>
              <w:rPr>
                <w:rFonts w:eastAsia="Times New Roman" w:cs="Times New Roman"/>
                <w:sz w:val="18"/>
                <w:szCs w:val="18"/>
              </w:rPr>
              <w:t>Lower heating value</w:t>
            </w:r>
          </w:p>
        </w:tc>
        <w:tc>
          <w:tcPr>
            <w:tcW w:w="383" w:type="pct"/>
            <w:tcBorders>
              <w:top w:val="nil"/>
              <w:left w:val="single" w:sz="4" w:space="0" w:color="auto"/>
              <w:bottom w:val="nil"/>
              <w:right w:val="single" w:sz="4" w:space="0" w:color="auto"/>
            </w:tcBorders>
            <w:vAlign w:val="center"/>
          </w:tcPr>
          <w:p w14:paraId="15711362" w14:textId="5342F0C9"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MJ/kg</w:t>
            </w:r>
          </w:p>
        </w:tc>
        <w:tc>
          <w:tcPr>
            <w:tcW w:w="282" w:type="pct"/>
            <w:tcBorders>
              <w:top w:val="nil"/>
              <w:left w:val="single" w:sz="4" w:space="0" w:color="auto"/>
              <w:bottom w:val="nil"/>
              <w:right w:val="nil"/>
            </w:tcBorders>
            <w:shd w:val="clear" w:color="auto" w:fill="auto"/>
            <w:noWrap/>
            <w:vAlign w:val="bottom"/>
            <w:hideMark/>
          </w:tcPr>
          <w:p w14:paraId="4523FDB8" w14:textId="0F784EBB"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43.2</w:t>
            </w:r>
          </w:p>
        </w:tc>
        <w:tc>
          <w:tcPr>
            <w:tcW w:w="376" w:type="pct"/>
            <w:tcBorders>
              <w:top w:val="nil"/>
              <w:left w:val="single" w:sz="4" w:space="0" w:color="auto"/>
              <w:bottom w:val="nil"/>
              <w:right w:val="single" w:sz="4" w:space="0" w:color="auto"/>
            </w:tcBorders>
            <w:shd w:val="clear" w:color="auto" w:fill="auto"/>
            <w:noWrap/>
            <w:vAlign w:val="bottom"/>
            <w:hideMark/>
          </w:tcPr>
          <w:p w14:paraId="10C95B4E"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48.63</w:t>
            </w:r>
          </w:p>
        </w:tc>
        <w:tc>
          <w:tcPr>
            <w:tcW w:w="383" w:type="pct"/>
            <w:tcBorders>
              <w:top w:val="nil"/>
              <w:left w:val="nil"/>
              <w:bottom w:val="nil"/>
              <w:right w:val="single" w:sz="4" w:space="0" w:color="auto"/>
            </w:tcBorders>
            <w:shd w:val="clear" w:color="auto" w:fill="auto"/>
            <w:noWrap/>
            <w:vAlign w:val="bottom"/>
            <w:hideMark/>
          </w:tcPr>
          <w:p w14:paraId="17C0828D"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43.2</w:t>
            </w:r>
          </w:p>
        </w:tc>
        <w:tc>
          <w:tcPr>
            <w:tcW w:w="438" w:type="pct"/>
            <w:tcBorders>
              <w:top w:val="nil"/>
              <w:left w:val="nil"/>
              <w:bottom w:val="nil"/>
              <w:right w:val="single" w:sz="4" w:space="0" w:color="auto"/>
            </w:tcBorders>
            <w:shd w:val="clear" w:color="auto" w:fill="auto"/>
            <w:noWrap/>
            <w:vAlign w:val="bottom"/>
            <w:hideMark/>
          </w:tcPr>
          <w:p w14:paraId="4F5D0C13"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44.0</w:t>
            </w:r>
          </w:p>
        </w:tc>
        <w:tc>
          <w:tcPr>
            <w:tcW w:w="435" w:type="pct"/>
            <w:tcBorders>
              <w:top w:val="nil"/>
              <w:left w:val="nil"/>
              <w:bottom w:val="nil"/>
              <w:right w:val="nil"/>
            </w:tcBorders>
            <w:shd w:val="clear" w:color="auto" w:fill="auto"/>
            <w:noWrap/>
            <w:vAlign w:val="bottom"/>
            <w:hideMark/>
          </w:tcPr>
          <w:p w14:paraId="3FA51F3A"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43.2</w:t>
            </w:r>
          </w:p>
        </w:tc>
        <w:tc>
          <w:tcPr>
            <w:tcW w:w="382" w:type="pct"/>
            <w:tcBorders>
              <w:top w:val="nil"/>
              <w:left w:val="single" w:sz="4" w:space="0" w:color="auto"/>
              <w:bottom w:val="nil"/>
              <w:right w:val="single" w:sz="4" w:space="0" w:color="auto"/>
            </w:tcBorders>
            <w:shd w:val="clear" w:color="auto" w:fill="auto"/>
            <w:noWrap/>
            <w:vAlign w:val="bottom"/>
            <w:hideMark/>
          </w:tcPr>
          <w:p w14:paraId="3CABC43E"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37.2</w:t>
            </w:r>
          </w:p>
        </w:tc>
        <w:tc>
          <w:tcPr>
            <w:tcW w:w="363" w:type="pct"/>
            <w:tcBorders>
              <w:top w:val="nil"/>
              <w:left w:val="nil"/>
              <w:bottom w:val="nil"/>
              <w:right w:val="nil"/>
            </w:tcBorders>
            <w:shd w:val="clear" w:color="auto" w:fill="auto"/>
            <w:noWrap/>
            <w:vAlign w:val="bottom"/>
            <w:hideMark/>
          </w:tcPr>
          <w:p w14:paraId="24946600"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15</w:t>
            </w:r>
          </w:p>
        </w:tc>
        <w:tc>
          <w:tcPr>
            <w:tcW w:w="394" w:type="pct"/>
            <w:tcBorders>
              <w:top w:val="nil"/>
              <w:left w:val="single" w:sz="4" w:space="0" w:color="auto"/>
              <w:bottom w:val="nil"/>
              <w:right w:val="nil"/>
            </w:tcBorders>
            <w:shd w:val="clear" w:color="auto" w:fill="auto"/>
            <w:noWrap/>
            <w:vAlign w:val="bottom"/>
            <w:hideMark/>
          </w:tcPr>
          <w:p w14:paraId="6C19E1EB"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43.2</w:t>
            </w:r>
          </w:p>
        </w:tc>
        <w:tc>
          <w:tcPr>
            <w:tcW w:w="418" w:type="pct"/>
            <w:tcBorders>
              <w:top w:val="nil"/>
              <w:left w:val="single" w:sz="4" w:space="0" w:color="auto"/>
              <w:bottom w:val="nil"/>
              <w:right w:val="single" w:sz="4" w:space="0" w:color="auto"/>
            </w:tcBorders>
            <w:shd w:val="clear" w:color="auto" w:fill="auto"/>
            <w:noWrap/>
            <w:vAlign w:val="bottom"/>
            <w:hideMark/>
          </w:tcPr>
          <w:p w14:paraId="37FCDEFF"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44.0</w:t>
            </w:r>
          </w:p>
        </w:tc>
        <w:tc>
          <w:tcPr>
            <w:tcW w:w="326" w:type="pct"/>
            <w:tcBorders>
              <w:top w:val="nil"/>
              <w:left w:val="nil"/>
              <w:bottom w:val="nil"/>
            </w:tcBorders>
            <w:shd w:val="clear" w:color="auto" w:fill="auto"/>
            <w:noWrap/>
            <w:vAlign w:val="bottom"/>
            <w:hideMark/>
          </w:tcPr>
          <w:p w14:paraId="7B03A264"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37.5</w:t>
            </w:r>
          </w:p>
        </w:tc>
      </w:tr>
      <w:tr w:rsidR="003C2F94" w:rsidRPr="003C2F94" w14:paraId="4A4C9B60" w14:textId="77777777" w:rsidTr="003C2F94">
        <w:trPr>
          <w:trHeight w:val="20"/>
        </w:trPr>
        <w:tc>
          <w:tcPr>
            <w:tcW w:w="820" w:type="pct"/>
            <w:tcBorders>
              <w:top w:val="nil"/>
              <w:left w:val="nil"/>
              <w:bottom w:val="nil"/>
              <w:right w:val="single" w:sz="4" w:space="0" w:color="auto"/>
            </w:tcBorders>
            <w:vAlign w:val="bottom"/>
          </w:tcPr>
          <w:p w14:paraId="58DD7ADF" w14:textId="11A55DE9"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Density</w:t>
            </w:r>
          </w:p>
        </w:tc>
        <w:tc>
          <w:tcPr>
            <w:tcW w:w="383" w:type="pct"/>
            <w:tcBorders>
              <w:top w:val="nil"/>
              <w:left w:val="single" w:sz="4" w:space="0" w:color="auto"/>
              <w:bottom w:val="nil"/>
              <w:right w:val="single" w:sz="4" w:space="0" w:color="auto"/>
            </w:tcBorders>
            <w:vAlign w:val="center"/>
          </w:tcPr>
          <w:p w14:paraId="77C1B8F9" w14:textId="60736061"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kg/L</w:t>
            </w:r>
          </w:p>
        </w:tc>
        <w:tc>
          <w:tcPr>
            <w:tcW w:w="282" w:type="pct"/>
            <w:tcBorders>
              <w:top w:val="nil"/>
              <w:left w:val="single" w:sz="4" w:space="0" w:color="auto"/>
              <w:bottom w:val="nil"/>
              <w:right w:val="nil"/>
            </w:tcBorders>
            <w:shd w:val="clear" w:color="auto" w:fill="auto"/>
            <w:noWrap/>
            <w:vAlign w:val="bottom"/>
            <w:hideMark/>
          </w:tcPr>
          <w:p w14:paraId="7E93F86A" w14:textId="63C42B65"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0.8</w:t>
            </w:r>
          </w:p>
        </w:tc>
        <w:tc>
          <w:tcPr>
            <w:tcW w:w="376" w:type="pct"/>
            <w:tcBorders>
              <w:top w:val="nil"/>
              <w:left w:val="single" w:sz="4" w:space="0" w:color="auto"/>
              <w:bottom w:val="nil"/>
              <w:right w:val="single" w:sz="4" w:space="0" w:color="auto"/>
            </w:tcBorders>
            <w:shd w:val="clear" w:color="auto" w:fill="auto"/>
            <w:noWrap/>
            <w:vAlign w:val="bottom"/>
            <w:hideMark/>
          </w:tcPr>
          <w:p w14:paraId="0DAE00B5"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0.43</w:t>
            </w:r>
          </w:p>
        </w:tc>
        <w:tc>
          <w:tcPr>
            <w:tcW w:w="383" w:type="pct"/>
            <w:tcBorders>
              <w:top w:val="nil"/>
              <w:left w:val="nil"/>
              <w:bottom w:val="nil"/>
              <w:right w:val="single" w:sz="4" w:space="0" w:color="auto"/>
            </w:tcBorders>
            <w:shd w:val="clear" w:color="auto" w:fill="auto"/>
            <w:noWrap/>
            <w:vAlign w:val="bottom"/>
            <w:hideMark/>
          </w:tcPr>
          <w:p w14:paraId="675DDF84"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0.8</w:t>
            </w:r>
          </w:p>
        </w:tc>
        <w:tc>
          <w:tcPr>
            <w:tcW w:w="438" w:type="pct"/>
            <w:tcBorders>
              <w:top w:val="nil"/>
              <w:left w:val="nil"/>
              <w:bottom w:val="nil"/>
              <w:right w:val="single" w:sz="4" w:space="0" w:color="auto"/>
            </w:tcBorders>
            <w:shd w:val="clear" w:color="auto" w:fill="auto"/>
            <w:noWrap/>
            <w:vAlign w:val="bottom"/>
            <w:hideMark/>
          </w:tcPr>
          <w:p w14:paraId="1754BAE6"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0.78</w:t>
            </w:r>
          </w:p>
        </w:tc>
        <w:tc>
          <w:tcPr>
            <w:tcW w:w="435" w:type="pct"/>
            <w:tcBorders>
              <w:top w:val="nil"/>
              <w:left w:val="nil"/>
              <w:bottom w:val="nil"/>
              <w:right w:val="nil"/>
            </w:tcBorders>
            <w:shd w:val="clear" w:color="auto" w:fill="auto"/>
            <w:noWrap/>
            <w:vAlign w:val="bottom"/>
            <w:hideMark/>
          </w:tcPr>
          <w:p w14:paraId="2892CB45"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0.8</w:t>
            </w:r>
          </w:p>
        </w:tc>
        <w:tc>
          <w:tcPr>
            <w:tcW w:w="382" w:type="pct"/>
            <w:tcBorders>
              <w:top w:val="nil"/>
              <w:left w:val="single" w:sz="4" w:space="0" w:color="auto"/>
              <w:bottom w:val="nil"/>
              <w:right w:val="single" w:sz="4" w:space="0" w:color="auto"/>
            </w:tcBorders>
            <w:shd w:val="clear" w:color="auto" w:fill="auto"/>
            <w:noWrap/>
            <w:vAlign w:val="bottom"/>
            <w:hideMark/>
          </w:tcPr>
          <w:p w14:paraId="228CD502" w14:textId="77777777" w:rsidR="003C2F94" w:rsidRPr="0033487B" w:rsidRDefault="003C2F94" w:rsidP="000F1A32">
            <w:pPr>
              <w:spacing w:after="0" w:line="240" w:lineRule="auto"/>
              <w:jc w:val="left"/>
              <w:rPr>
                <w:rFonts w:eastAsia="Times New Roman" w:cs="Times New Roman"/>
                <w:sz w:val="18"/>
                <w:szCs w:val="18"/>
              </w:rPr>
            </w:pPr>
            <w:r w:rsidRPr="0033487B">
              <w:rPr>
                <w:rFonts w:eastAsia="Times New Roman" w:cs="Times New Roman"/>
                <w:sz w:val="18"/>
                <w:szCs w:val="18"/>
              </w:rPr>
              <w:t> </w:t>
            </w:r>
          </w:p>
        </w:tc>
        <w:tc>
          <w:tcPr>
            <w:tcW w:w="363" w:type="pct"/>
            <w:tcBorders>
              <w:top w:val="nil"/>
              <w:left w:val="nil"/>
              <w:bottom w:val="nil"/>
              <w:right w:val="nil"/>
            </w:tcBorders>
            <w:shd w:val="clear" w:color="auto" w:fill="auto"/>
            <w:noWrap/>
            <w:vAlign w:val="bottom"/>
            <w:hideMark/>
          </w:tcPr>
          <w:p w14:paraId="0FD47762" w14:textId="77777777" w:rsidR="003C2F94" w:rsidRPr="0033487B" w:rsidRDefault="003C2F94" w:rsidP="000F1A32">
            <w:pPr>
              <w:spacing w:after="0" w:line="240" w:lineRule="auto"/>
              <w:jc w:val="left"/>
              <w:rPr>
                <w:rFonts w:eastAsia="Times New Roman" w:cs="Times New Roman"/>
                <w:sz w:val="18"/>
                <w:szCs w:val="18"/>
              </w:rPr>
            </w:pPr>
          </w:p>
        </w:tc>
        <w:tc>
          <w:tcPr>
            <w:tcW w:w="394" w:type="pct"/>
            <w:tcBorders>
              <w:top w:val="nil"/>
              <w:left w:val="single" w:sz="4" w:space="0" w:color="auto"/>
              <w:bottom w:val="nil"/>
              <w:right w:val="nil"/>
            </w:tcBorders>
            <w:shd w:val="clear" w:color="auto" w:fill="auto"/>
            <w:noWrap/>
            <w:vAlign w:val="bottom"/>
            <w:hideMark/>
          </w:tcPr>
          <w:p w14:paraId="64F4B348"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0.80</w:t>
            </w:r>
          </w:p>
        </w:tc>
        <w:tc>
          <w:tcPr>
            <w:tcW w:w="418" w:type="pct"/>
            <w:tcBorders>
              <w:top w:val="nil"/>
              <w:left w:val="single" w:sz="4" w:space="0" w:color="auto"/>
              <w:bottom w:val="nil"/>
              <w:right w:val="single" w:sz="4" w:space="0" w:color="auto"/>
            </w:tcBorders>
            <w:shd w:val="clear" w:color="auto" w:fill="auto"/>
            <w:noWrap/>
            <w:vAlign w:val="bottom"/>
            <w:hideMark/>
          </w:tcPr>
          <w:p w14:paraId="1A8EB257"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0.78</w:t>
            </w:r>
          </w:p>
        </w:tc>
        <w:tc>
          <w:tcPr>
            <w:tcW w:w="326" w:type="pct"/>
            <w:tcBorders>
              <w:top w:val="nil"/>
              <w:left w:val="nil"/>
              <w:bottom w:val="nil"/>
            </w:tcBorders>
            <w:shd w:val="clear" w:color="auto" w:fill="auto"/>
            <w:noWrap/>
            <w:vAlign w:val="bottom"/>
            <w:hideMark/>
          </w:tcPr>
          <w:p w14:paraId="6F5C7DA2"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0.89</w:t>
            </w:r>
          </w:p>
        </w:tc>
      </w:tr>
      <w:tr w:rsidR="003C2F94" w:rsidRPr="003C2F94" w14:paraId="4AFBA281" w14:textId="77777777" w:rsidTr="003C2F94">
        <w:trPr>
          <w:trHeight w:val="20"/>
        </w:trPr>
        <w:tc>
          <w:tcPr>
            <w:tcW w:w="820" w:type="pct"/>
            <w:tcBorders>
              <w:top w:val="nil"/>
              <w:left w:val="nil"/>
              <w:bottom w:val="nil"/>
              <w:right w:val="single" w:sz="4" w:space="0" w:color="auto"/>
            </w:tcBorders>
            <w:vAlign w:val="bottom"/>
          </w:tcPr>
          <w:p w14:paraId="28305930" w14:textId="113039A4"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C ratio</w:t>
            </w:r>
          </w:p>
        </w:tc>
        <w:tc>
          <w:tcPr>
            <w:tcW w:w="383" w:type="pct"/>
            <w:tcBorders>
              <w:top w:val="nil"/>
              <w:left w:val="single" w:sz="4" w:space="0" w:color="auto"/>
              <w:bottom w:val="nil"/>
              <w:right w:val="single" w:sz="4" w:space="0" w:color="auto"/>
            </w:tcBorders>
            <w:vAlign w:val="center"/>
          </w:tcPr>
          <w:p w14:paraId="493BA1C3" w14:textId="23235395"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 by wt.</w:t>
            </w:r>
          </w:p>
        </w:tc>
        <w:tc>
          <w:tcPr>
            <w:tcW w:w="282" w:type="pct"/>
            <w:tcBorders>
              <w:top w:val="nil"/>
              <w:left w:val="single" w:sz="4" w:space="0" w:color="auto"/>
              <w:bottom w:val="nil"/>
              <w:right w:val="nil"/>
            </w:tcBorders>
            <w:shd w:val="clear" w:color="auto" w:fill="auto"/>
            <w:noWrap/>
            <w:vAlign w:val="bottom"/>
            <w:hideMark/>
          </w:tcPr>
          <w:p w14:paraId="77F17E86" w14:textId="48C63D29"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9</w:t>
            </w:r>
            <w:r w:rsidR="00C3513D">
              <w:rPr>
                <w:rFonts w:eastAsia="Times New Roman" w:cs="Times New Roman"/>
                <w:sz w:val="18"/>
                <w:szCs w:val="18"/>
              </w:rPr>
              <w:t>0</w:t>
            </w:r>
          </w:p>
        </w:tc>
        <w:tc>
          <w:tcPr>
            <w:tcW w:w="376" w:type="pct"/>
            <w:tcBorders>
              <w:top w:val="nil"/>
              <w:left w:val="single" w:sz="4" w:space="0" w:color="auto"/>
              <w:bottom w:val="nil"/>
              <w:right w:val="single" w:sz="4" w:space="0" w:color="auto"/>
            </w:tcBorders>
            <w:shd w:val="clear" w:color="auto" w:fill="auto"/>
            <w:noWrap/>
            <w:vAlign w:val="bottom"/>
            <w:hideMark/>
          </w:tcPr>
          <w:p w14:paraId="068FD3EB" w14:textId="78253598"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75</w:t>
            </w:r>
          </w:p>
        </w:tc>
        <w:tc>
          <w:tcPr>
            <w:tcW w:w="383" w:type="pct"/>
            <w:tcBorders>
              <w:top w:val="nil"/>
              <w:left w:val="nil"/>
              <w:bottom w:val="nil"/>
              <w:right w:val="single" w:sz="4" w:space="0" w:color="auto"/>
            </w:tcBorders>
            <w:shd w:val="clear" w:color="auto" w:fill="auto"/>
            <w:noWrap/>
            <w:vAlign w:val="bottom"/>
            <w:hideMark/>
          </w:tcPr>
          <w:p w14:paraId="56C18DF3" w14:textId="4685F10B"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9</w:t>
            </w:r>
            <w:r w:rsidR="00C3513D">
              <w:rPr>
                <w:rFonts w:eastAsia="Times New Roman" w:cs="Times New Roman"/>
                <w:sz w:val="18"/>
                <w:szCs w:val="18"/>
              </w:rPr>
              <w:t>0</w:t>
            </w:r>
          </w:p>
        </w:tc>
        <w:tc>
          <w:tcPr>
            <w:tcW w:w="438" w:type="pct"/>
            <w:tcBorders>
              <w:top w:val="nil"/>
              <w:left w:val="nil"/>
              <w:bottom w:val="nil"/>
              <w:right w:val="single" w:sz="4" w:space="0" w:color="auto"/>
            </w:tcBorders>
            <w:shd w:val="clear" w:color="auto" w:fill="auto"/>
            <w:noWrap/>
            <w:vAlign w:val="bottom"/>
            <w:hideMark/>
          </w:tcPr>
          <w:p w14:paraId="5A6F8A3A" w14:textId="1B7D1155"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87</w:t>
            </w:r>
          </w:p>
        </w:tc>
        <w:tc>
          <w:tcPr>
            <w:tcW w:w="435" w:type="pct"/>
            <w:tcBorders>
              <w:top w:val="nil"/>
              <w:left w:val="nil"/>
              <w:bottom w:val="nil"/>
              <w:right w:val="nil"/>
            </w:tcBorders>
            <w:shd w:val="clear" w:color="auto" w:fill="auto"/>
            <w:noWrap/>
            <w:vAlign w:val="bottom"/>
            <w:hideMark/>
          </w:tcPr>
          <w:p w14:paraId="0416C2F1" w14:textId="280EB7A8"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9</w:t>
            </w:r>
            <w:r w:rsidR="00C3513D">
              <w:rPr>
                <w:rFonts w:eastAsia="Times New Roman" w:cs="Times New Roman"/>
                <w:sz w:val="18"/>
                <w:szCs w:val="18"/>
              </w:rPr>
              <w:t>0</w:t>
            </w:r>
          </w:p>
        </w:tc>
        <w:tc>
          <w:tcPr>
            <w:tcW w:w="382" w:type="pct"/>
            <w:tcBorders>
              <w:top w:val="nil"/>
              <w:left w:val="single" w:sz="4" w:space="0" w:color="auto"/>
              <w:bottom w:val="nil"/>
              <w:right w:val="single" w:sz="4" w:space="0" w:color="auto"/>
            </w:tcBorders>
            <w:shd w:val="clear" w:color="auto" w:fill="auto"/>
            <w:noWrap/>
            <w:vAlign w:val="bottom"/>
            <w:hideMark/>
          </w:tcPr>
          <w:p w14:paraId="7841524B" w14:textId="57A87056"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78</w:t>
            </w:r>
          </w:p>
        </w:tc>
        <w:tc>
          <w:tcPr>
            <w:tcW w:w="363" w:type="pct"/>
            <w:tcBorders>
              <w:top w:val="nil"/>
              <w:left w:val="nil"/>
              <w:bottom w:val="nil"/>
              <w:right w:val="nil"/>
            </w:tcBorders>
            <w:shd w:val="clear" w:color="auto" w:fill="auto"/>
            <w:noWrap/>
            <w:vAlign w:val="bottom"/>
            <w:hideMark/>
          </w:tcPr>
          <w:p w14:paraId="7CFEF0AB" w14:textId="73EA77F1"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41</w:t>
            </w:r>
          </w:p>
        </w:tc>
        <w:tc>
          <w:tcPr>
            <w:tcW w:w="394" w:type="pct"/>
            <w:tcBorders>
              <w:top w:val="nil"/>
              <w:left w:val="single" w:sz="4" w:space="0" w:color="auto"/>
              <w:bottom w:val="nil"/>
              <w:right w:val="nil"/>
            </w:tcBorders>
            <w:shd w:val="clear" w:color="auto" w:fill="auto"/>
            <w:noWrap/>
            <w:vAlign w:val="bottom"/>
            <w:hideMark/>
          </w:tcPr>
          <w:p w14:paraId="5B63BFD6" w14:textId="05085D8D"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85</w:t>
            </w:r>
          </w:p>
        </w:tc>
        <w:tc>
          <w:tcPr>
            <w:tcW w:w="418" w:type="pct"/>
            <w:tcBorders>
              <w:top w:val="nil"/>
              <w:left w:val="single" w:sz="4" w:space="0" w:color="auto"/>
              <w:bottom w:val="nil"/>
              <w:right w:val="single" w:sz="4" w:space="0" w:color="auto"/>
            </w:tcBorders>
            <w:shd w:val="clear" w:color="auto" w:fill="auto"/>
            <w:noWrap/>
            <w:vAlign w:val="bottom"/>
            <w:hideMark/>
          </w:tcPr>
          <w:p w14:paraId="1CC36E5A" w14:textId="2CF9AD96"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87</w:t>
            </w:r>
          </w:p>
        </w:tc>
        <w:tc>
          <w:tcPr>
            <w:tcW w:w="326" w:type="pct"/>
            <w:tcBorders>
              <w:top w:val="nil"/>
              <w:left w:val="nil"/>
              <w:bottom w:val="nil"/>
            </w:tcBorders>
            <w:shd w:val="clear" w:color="auto" w:fill="auto"/>
            <w:noWrap/>
            <w:vAlign w:val="bottom"/>
            <w:hideMark/>
          </w:tcPr>
          <w:p w14:paraId="106D44F8" w14:textId="01851249"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78</w:t>
            </w:r>
          </w:p>
        </w:tc>
      </w:tr>
      <w:tr w:rsidR="003C2F94" w:rsidRPr="003C2F94" w14:paraId="2E4AB486" w14:textId="77777777" w:rsidTr="00873746">
        <w:trPr>
          <w:trHeight w:val="20"/>
        </w:trPr>
        <w:tc>
          <w:tcPr>
            <w:tcW w:w="820" w:type="pct"/>
            <w:tcBorders>
              <w:top w:val="nil"/>
              <w:left w:val="nil"/>
              <w:bottom w:val="single" w:sz="4" w:space="0" w:color="auto"/>
              <w:right w:val="single" w:sz="4" w:space="0" w:color="auto"/>
            </w:tcBorders>
            <w:vAlign w:val="bottom"/>
          </w:tcPr>
          <w:p w14:paraId="0F53907F" w14:textId="46576607"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S ratio</w:t>
            </w:r>
          </w:p>
        </w:tc>
        <w:tc>
          <w:tcPr>
            <w:tcW w:w="383" w:type="pct"/>
            <w:tcBorders>
              <w:top w:val="nil"/>
              <w:left w:val="single" w:sz="4" w:space="0" w:color="auto"/>
              <w:bottom w:val="single" w:sz="4" w:space="0" w:color="auto"/>
              <w:right w:val="single" w:sz="4" w:space="0" w:color="auto"/>
            </w:tcBorders>
            <w:vAlign w:val="center"/>
          </w:tcPr>
          <w:p w14:paraId="5B290AA2" w14:textId="5CAEA8F3"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 by wt.</w:t>
            </w:r>
          </w:p>
        </w:tc>
        <w:tc>
          <w:tcPr>
            <w:tcW w:w="282" w:type="pct"/>
            <w:tcBorders>
              <w:top w:val="nil"/>
              <w:left w:val="single" w:sz="4" w:space="0" w:color="auto"/>
              <w:bottom w:val="single" w:sz="4" w:space="0" w:color="auto"/>
              <w:right w:val="nil"/>
            </w:tcBorders>
            <w:shd w:val="clear" w:color="auto" w:fill="auto"/>
            <w:noWrap/>
            <w:vAlign w:val="bottom"/>
            <w:hideMark/>
          </w:tcPr>
          <w:p w14:paraId="3296027C" w14:textId="691B363C"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0.00</w:t>
            </w:r>
          </w:p>
        </w:tc>
        <w:tc>
          <w:tcPr>
            <w:tcW w:w="376" w:type="pct"/>
            <w:tcBorders>
              <w:top w:val="nil"/>
              <w:left w:val="single" w:sz="4" w:space="0" w:color="auto"/>
              <w:bottom w:val="nil"/>
              <w:right w:val="single" w:sz="4" w:space="0" w:color="auto"/>
            </w:tcBorders>
            <w:shd w:val="clear" w:color="auto" w:fill="auto"/>
            <w:noWrap/>
            <w:vAlign w:val="bottom"/>
            <w:hideMark/>
          </w:tcPr>
          <w:p w14:paraId="3FEA1DCC" w14:textId="53FC9315"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0.00</w:t>
            </w:r>
          </w:p>
        </w:tc>
        <w:tc>
          <w:tcPr>
            <w:tcW w:w="383" w:type="pct"/>
            <w:tcBorders>
              <w:top w:val="nil"/>
              <w:left w:val="nil"/>
              <w:bottom w:val="single" w:sz="4" w:space="0" w:color="auto"/>
              <w:right w:val="single" w:sz="4" w:space="0" w:color="auto"/>
            </w:tcBorders>
            <w:shd w:val="clear" w:color="auto" w:fill="auto"/>
            <w:noWrap/>
            <w:vAlign w:val="bottom"/>
            <w:hideMark/>
          </w:tcPr>
          <w:p w14:paraId="1385F148" w14:textId="1BA3788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0.00</w:t>
            </w:r>
          </w:p>
        </w:tc>
        <w:tc>
          <w:tcPr>
            <w:tcW w:w="438" w:type="pct"/>
            <w:tcBorders>
              <w:top w:val="nil"/>
              <w:left w:val="nil"/>
              <w:bottom w:val="nil"/>
              <w:right w:val="single" w:sz="4" w:space="0" w:color="auto"/>
            </w:tcBorders>
            <w:shd w:val="clear" w:color="auto" w:fill="auto"/>
            <w:noWrap/>
            <w:vAlign w:val="bottom"/>
            <w:hideMark/>
          </w:tcPr>
          <w:p w14:paraId="1486064A" w14:textId="69539C19"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1.51</w:t>
            </w:r>
          </w:p>
        </w:tc>
        <w:tc>
          <w:tcPr>
            <w:tcW w:w="435" w:type="pct"/>
            <w:tcBorders>
              <w:top w:val="nil"/>
              <w:left w:val="nil"/>
              <w:bottom w:val="single" w:sz="4" w:space="0" w:color="auto"/>
              <w:right w:val="nil"/>
            </w:tcBorders>
            <w:shd w:val="clear" w:color="auto" w:fill="auto"/>
            <w:noWrap/>
            <w:vAlign w:val="bottom"/>
            <w:hideMark/>
          </w:tcPr>
          <w:p w14:paraId="74AC0205" w14:textId="479848BE"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0.00</w:t>
            </w:r>
          </w:p>
        </w:tc>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05D6826A" w14:textId="382B7CD0"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0.00</w:t>
            </w:r>
          </w:p>
        </w:tc>
        <w:tc>
          <w:tcPr>
            <w:tcW w:w="363" w:type="pct"/>
            <w:tcBorders>
              <w:top w:val="nil"/>
              <w:left w:val="nil"/>
              <w:bottom w:val="nil"/>
              <w:right w:val="nil"/>
            </w:tcBorders>
            <w:shd w:val="clear" w:color="auto" w:fill="auto"/>
            <w:noWrap/>
            <w:vAlign w:val="bottom"/>
            <w:hideMark/>
          </w:tcPr>
          <w:p w14:paraId="1155D515" w14:textId="775FFE9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0.00</w:t>
            </w:r>
          </w:p>
        </w:tc>
        <w:tc>
          <w:tcPr>
            <w:tcW w:w="394" w:type="pct"/>
            <w:tcBorders>
              <w:top w:val="nil"/>
              <w:left w:val="single" w:sz="4" w:space="0" w:color="auto"/>
              <w:bottom w:val="single" w:sz="4" w:space="0" w:color="auto"/>
              <w:right w:val="nil"/>
            </w:tcBorders>
            <w:shd w:val="clear" w:color="auto" w:fill="auto"/>
            <w:noWrap/>
            <w:vAlign w:val="bottom"/>
            <w:hideMark/>
          </w:tcPr>
          <w:p w14:paraId="24DC3F6D" w14:textId="38B6EE8D"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0.00</w:t>
            </w:r>
          </w:p>
        </w:tc>
        <w:tc>
          <w:tcPr>
            <w:tcW w:w="418" w:type="pct"/>
            <w:tcBorders>
              <w:top w:val="nil"/>
              <w:left w:val="single" w:sz="4" w:space="0" w:color="auto"/>
              <w:bottom w:val="nil"/>
              <w:right w:val="single" w:sz="4" w:space="0" w:color="auto"/>
            </w:tcBorders>
            <w:shd w:val="clear" w:color="auto" w:fill="auto"/>
            <w:noWrap/>
            <w:vAlign w:val="bottom"/>
            <w:hideMark/>
          </w:tcPr>
          <w:p w14:paraId="307A064D" w14:textId="5CEA6F43"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0.00</w:t>
            </w:r>
          </w:p>
        </w:tc>
        <w:tc>
          <w:tcPr>
            <w:tcW w:w="326" w:type="pct"/>
            <w:tcBorders>
              <w:top w:val="nil"/>
              <w:left w:val="nil"/>
              <w:bottom w:val="nil"/>
            </w:tcBorders>
            <w:shd w:val="clear" w:color="auto" w:fill="auto"/>
            <w:noWrap/>
            <w:vAlign w:val="bottom"/>
            <w:hideMark/>
          </w:tcPr>
          <w:p w14:paraId="5450794F" w14:textId="28BB479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0.00</w:t>
            </w:r>
          </w:p>
        </w:tc>
      </w:tr>
      <w:tr w:rsidR="003C2F94" w:rsidRPr="003C2F94" w14:paraId="370F4525" w14:textId="77777777" w:rsidTr="003C2F94">
        <w:trPr>
          <w:trHeight w:val="20"/>
        </w:trPr>
        <w:tc>
          <w:tcPr>
            <w:tcW w:w="820" w:type="pct"/>
            <w:tcBorders>
              <w:top w:val="nil"/>
              <w:left w:val="nil"/>
              <w:bottom w:val="single" w:sz="4" w:space="0" w:color="auto"/>
              <w:right w:val="single" w:sz="4" w:space="0" w:color="auto"/>
            </w:tcBorders>
            <w:vAlign w:val="bottom"/>
          </w:tcPr>
          <w:p w14:paraId="57E01A9C" w14:textId="5DE22DEB"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Biogenic carbon share</w:t>
            </w:r>
          </w:p>
        </w:tc>
        <w:tc>
          <w:tcPr>
            <w:tcW w:w="383" w:type="pct"/>
            <w:tcBorders>
              <w:top w:val="nil"/>
              <w:left w:val="single" w:sz="4" w:space="0" w:color="auto"/>
              <w:bottom w:val="single" w:sz="4" w:space="0" w:color="auto"/>
              <w:right w:val="single" w:sz="4" w:space="0" w:color="auto"/>
            </w:tcBorders>
            <w:vAlign w:val="center"/>
          </w:tcPr>
          <w:p w14:paraId="533D8C99" w14:textId="65EA683D" w:rsidR="003C2F94" w:rsidRPr="003C2F94" w:rsidRDefault="003C2F94" w:rsidP="000F1A32">
            <w:pPr>
              <w:spacing w:after="0" w:line="240" w:lineRule="auto"/>
              <w:jc w:val="center"/>
              <w:rPr>
                <w:rFonts w:eastAsia="Times New Roman" w:cs="Times New Roman"/>
                <w:sz w:val="18"/>
                <w:szCs w:val="18"/>
              </w:rPr>
            </w:pPr>
            <w:r w:rsidRPr="0033487B">
              <w:rPr>
                <w:rFonts w:eastAsia="Times New Roman" w:cs="Times New Roman"/>
                <w:sz w:val="18"/>
                <w:szCs w:val="18"/>
              </w:rPr>
              <w:t>%  by wt.</w:t>
            </w:r>
          </w:p>
        </w:tc>
        <w:tc>
          <w:tcPr>
            <w:tcW w:w="282" w:type="pct"/>
            <w:tcBorders>
              <w:top w:val="nil"/>
              <w:left w:val="single" w:sz="4" w:space="0" w:color="auto"/>
              <w:bottom w:val="single" w:sz="4" w:space="0" w:color="auto"/>
              <w:right w:val="nil"/>
            </w:tcBorders>
            <w:shd w:val="clear" w:color="auto" w:fill="auto"/>
            <w:noWrap/>
            <w:vAlign w:val="bottom"/>
            <w:hideMark/>
          </w:tcPr>
          <w:p w14:paraId="02FC56F2" w14:textId="5089D858"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225C"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14:paraId="0B52EFDB"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49%</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8532B"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50%</w:t>
            </w:r>
          </w:p>
        </w:tc>
        <w:tc>
          <w:tcPr>
            <w:tcW w:w="435" w:type="pct"/>
            <w:tcBorders>
              <w:top w:val="nil"/>
              <w:left w:val="nil"/>
              <w:bottom w:val="single" w:sz="4" w:space="0" w:color="auto"/>
              <w:right w:val="nil"/>
            </w:tcBorders>
            <w:shd w:val="clear" w:color="auto" w:fill="auto"/>
            <w:noWrap/>
            <w:vAlign w:val="bottom"/>
            <w:hideMark/>
          </w:tcPr>
          <w:p w14:paraId="2B2B4B59"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49%</w:t>
            </w:r>
          </w:p>
        </w:tc>
        <w:tc>
          <w:tcPr>
            <w:tcW w:w="382" w:type="pct"/>
            <w:tcBorders>
              <w:top w:val="nil"/>
              <w:left w:val="nil"/>
              <w:bottom w:val="single" w:sz="4" w:space="0" w:color="auto"/>
              <w:right w:val="nil"/>
            </w:tcBorders>
            <w:shd w:val="clear" w:color="auto" w:fill="auto"/>
            <w:noWrap/>
            <w:vAlign w:val="bottom"/>
            <w:hideMark/>
          </w:tcPr>
          <w:p w14:paraId="36F66E0C"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100%</w:t>
            </w:r>
          </w:p>
        </w:tc>
        <w:tc>
          <w:tcPr>
            <w:tcW w:w="363" w:type="pct"/>
            <w:tcBorders>
              <w:top w:val="single" w:sz="4" w:space="0" w:color="auto"/>
              <w:left w:val="nil"/>
              <w:bottom w:val="single" w:sz="4" w:space="0" w:color="auto"/>
              <w:right w:val="nil"/>
            </w:tcBorders>
            <w:shd w:val="clear" w:color="auto" w:fill="auto"/>
            <w:noWrap/>
            <w:vAlign w:val="bottom"/>
            <w:hideMark/>
          </w:tcPr>
          <w:p w14:paraId="26E89E99"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100%</w:t>
            </w:r>
          </w:p>
        </w:tc>
        <w:tc>
          <w:tcPr>
            <w:tcW w:w="394" w:type="pct"/>
            <w:tcBorders>
              <w:top w:val="nil"/>
              <w:left w:val="single" w:sz="4" w:space="0" w:color="auto"/>
              <w:bottom w:val="single" w:sz="4" w:space="0" w:color="auto"/>
              <w:right w:val="nil"/>
            </w:tcBorders>
            <w:shd w:val="clear" w:color="auto" w:fill="auto"/>
            <w:noWrap/>
            <w:vAlign w:val="bottom"/>
            <w:hideMark/>
          </w:tcPr>
          <w:p w14:paraId="45191E10"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100%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3146A"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100%</w:t>
            </w:r>
          </w:p>
        </w:tc>
        <w:tc>
          <w:tcPr>
            <w:tcW w:w="326" w:type="pct"/>
            <w:tcBorders>
              <w:top w:val="single" w:sz="4" w:space="0" w:color="auto"/>
              <w:left w:val="nil"/>
              <w:bottom w:val="single" w:sz="4" w:space="0" w:color="auto"/>
            </w:tcBorders>
            <w:shd w:val="clear" w:color="auto" w:fill="auto"/>
            <w:noWrap/>
            <w:vAlign w:val="bottom"/>
            <w:hideMark/>
          </w:tcPr>
          <w:p w14:paraId="5E532715" w14:textId="77777777" w:rsidR="003C2F94" w:rsidRPr="0033487B" w:rsidRDefault="003C2F94" w:rsidP="000F1A32">
            <w:pPr>
              <w:spacing w:after="0" w:line="240" w:lineRule="auto"/>
              <w:jc w:val="right"/>
              <w:rPr>
                <w:rFonts w:eastAsia="Times New Roman" w:cs="Times New Roman"/>
                <w:sz w:val="18"/>
                <w:szCs w:val="18"/>
              </w:rPr>
            </w:pPr>
            <w:r w:rsidRPr="0033487B">
              <w:rPr>
                <w:rFonts w:eastAsia="Times New Roman" w:cs="Times New Roman"/>
                <w:sz w:val="18"/>
                <w:szCs w:val="18"/>
              </w:rPr>
              <w:t>100%</w:t>
            </w:r>
          </w:p>
        </w:tc>
      </w:tr>
    </w:tbl>
    <w:p w14:paraId="50828CBC" w14:textId="564955D1" w:rsidR="00D13D53" w:rsidRDefault="00D13D53" w:rsidP="000F1A32">
      <w:pPr>
        <w:spacing w:after="0" w:line="240" w:lineRule="auto"/>
      </w:pPr>
    </w:p>
    <w:p w14:paraId="566E0785" w14:textId="42F2F81F" w:rsidR="00D13D53" w:rsidRDefault="00D13D53" w:rsidP="000F1A32">
      <w:pPr>
        <w:spacing w:after="0" w:line="240" w:lineRule="auto"/>
      </w:pPr>
    </w:p>
    <w:p w14:paraId="14817300" w14:textId="77777777" w:rsidR="00D13D53" w:rsidRDefault="00D13D53" w:rsidP="000F1A32">
      <w:pPr>
        <w:spacing w:after="0" w:line="240" w:lineRule="auto"/>
        <w:sectPr w:rsidR="00D13D53" w:rsidSect="0033487B">
          <w:pgSz w:w="15840" w:h="12240" w:orient="landscape"/>
          <w:pgMar w:top="1440" w:right="1440" w:bottom="1440" w:left="1440" w:header="720" w:footer="720" w:gutter="0"/>
          <w:cols w:space="720"/>
          <w:docGrid w:linePitch="360"/>
        </w:sectPr>
      </w:pPr>
    </w:p>
    <w:p w14:paraId="453AF317" w14:textId="450F2E5B" w:rsidR="00D13D53" w:rsidRDefault="00D13D53" w:rsidP="000F1A32">
      <w:pPr>
        <w:spacing w:after="0" w:line="240" w:lineRule="auto"/>
      </w:pPr>
    </w:p>
    <w:p w14:paraId="72722C9A" w14:textId="7B63DAAC" w:rsidR="00D13D53" w:rsidRDefault="00D13D53" w:rsidP="000F1A32">
      <w:pPr>
        <w:spacing w:after="0" w:line="240" w:lineRule="auto"/>
      </w:pPr>
    </w:p>
    <w:sectPr w:rsidR="00D13D53" w:rsidSect="00D13D53">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25FC8" w14:textId="77777777" w:rsidR="00046F66" w:rsidRDefault="00046F66" w:rsidP="00051DDA">
      <w:pPr>
        <w:spacing w:after="0" w:line="240" w:lineRule="auto"/>
      </w:pPr>
      <w:r>
        <w:separator/>
      </w:r>
    </w:p>
  </w:endnote>
  <w:endnote w:type="continuationSeparator" w:id="0">
    <w:p w14:paraId="7FC8756E" w14:textId="77777777" w:rsidR="00046F66" w:rsidRDefault="00046F66" w:rsidP="0005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395202"/>
      <w:docPartObj>
        <w:docPartGallery w:val="Page Numbers (Bottom of Page)"/>
        <w:docPartUnique/>
      </w:docPartObj>
    </w:sdtPr>
    <w:sdtEndPr>
      <w:rPr>
        <w:noProof/>
      </w:rPr>
    </w:sdtEndPr>
    <w:sdtContent>
      <w:p w14:paraId="4B3683D1" w14:textId="26F07ABD" w:rsidR="009504C9" w:rsidRDefault="009504C9">
        <w:pPr>
          <w:pStyle w:val="Footer"/>
          <w:jc w:val="center"/>
        </w:pPr>
        <w:r>
          <w:fldChar w:fldCharType="begin"/>
        </w:r>
        <w:r>
          <w:instrText xml:space="preserve"> PAGE   \* MERGEFORMAT </w:instrText>
        </w:r>
        <w:r>
          <w:fldChar w:fldCharType="separate"/>
        </w:r>
        <w:r w:rsidR="00097A24">
          <w:rPr>
            <w:noProof/>
          </w:rPr>
          <w:t>2</w:t>
        </w:r>
        <w:r>
          <w:rPr>
            <w:noProof/>
          </w:rPr>
          <w:fldChar w:fldCharType="end"/>
        </w:r>
      </w:p>
    </w:sdtContent>
  </w:sdt>
  <w:p w14:paraId="25FE2AFC" w14:textId="77777777" w:rsidR="009504C9" w:rsidRDefault="00950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E0B40" w14:textId="77777777" w:rsidR="00046F66" w:rsidRDefault="00046F66" w:rsidP="00051DDA">
      <w:pPr>
        <w:spacing w:after="0" w:line="240" w:lineRule="auto"/>
      </w:pPr>
      <w:r>
        <w:separator/>
      </w:r>
    </w:p>
  </w:footnote>
  <w:footnote w:type="continuationSeparator" w:id="0">
    <w:p w14:paraId="53FFE8B8" w14:textId="77777777" w:rsidR="00046F66" w:rsidRDefault="00046F66" w:rsidP="00051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B04"/>
    <w:multiLevelType w:val="hybridMultilevel"/>
    <w:tmpl w:val="ACD053E0"/>
    <w:lvl w:ilvl="0" w:tplc="53C89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8E7BD7"/>
    <w:multiLevelType w:val="hybridMultilevel"/>
    <w:tmpl w:val="76F4E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5CF5"/>
    <w:multiLevelType w:val="hybridMultilevel"/>
    <w:tmpl w:val="B89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D62F4"/>
    <w:multiLevelType w:val="hybridMultilevel"/>
    <w:tmpl w:val="CE40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B8A"/>
    <w:multiLevelType w:val="hybridMultilevel"/>
    <w:tmpl w:val="0D02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32260"/>
    <w:multiLevelType w:val="hybridMultilevel"/>
    <w:tmpl w:val="7CD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227DF"/>
    <w:multiLevelType w:val="hybridMultilevel"/>
    <w:tmpl w:val="9E46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10442"/>
    <w:multiLevelType w:val="hybridMultilevel"/>
    <w:tmpl w:val="05F0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6156F"/>
    <w:multiLevelType w:val="hybridMultilevel"/>
    <w:tmpl w:val="1058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F66F8"/>
    <w:multiLevelType w:val="hybridMultilevel"/>
    <w:tmpl w:val="E39EA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07421"/>
    <w:multiLevelType w:val="hybridMultilevel"/>
    <w:tmpl w:val="DF20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504E5"/>
    <w:multiLevelType w:val="hybridMultilevel"/>
    <w:tmpl w:val="B3789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37E93"/>
    <w:multiLevelType w:val="hybridMultilevel"/>
    <w:tmpl w:val="DD6E7BAC"/>
    <w:lvl w:ilvl="0" w:tplc="A66C16D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75EA1"/>
    <w:multiLevelType w:val="hybridMultilevel"/>
    <w:tmpl w:val="21C86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47BCC"/>
    <w:multiLevelType w:val="hybridMultilevel"/>
    <w:tmpl w:val="1FAE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914ED"/>
    <w:multiLevelType w:val="hybridMultilevel"/>
    <w:tmpl w:val="0D82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44A0E"/>
    <w:multiLevelType w:val="hybridMultilevel"/>
    <w:tmpl w:val="631A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656DA"/>
    <w:multiLevelType w:val="hybridMultilevel"/>
    <w:tmpl w:val="CED68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43C9A"/>
    <w:multiLevelType w:val="hybridMultilevel"/>
    <w:tmpl w:val="528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77154"/>
    <w:multiLevelType w:val="hybridMultilevel"/>
    <w:tmpl w:val="A364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A27BC"/>
    <w:multiLevelType w:val="hybridMultilevel"/>
    <w:tmpl w:val="46E4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A618E"/>
    <w:multiLevelType w:val="hybridMultilevel"/>
    <w:tmpl w:val="B850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96758"/>
    <w:multiLevelType w:val="hybridMultilevel"/>
    <w:tmpl w:val="E094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C49BB"/>
    <w:multiLevelType w:val="hybridMultilevel"/>
    <w:tmpl w:val="5492E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A5D6B"/>
    <w:multiLevelType w:val="hybridMultilevel"/>
    <w:tmpl w:val="40FC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D3BDD"/>
    <w:multiLevelType w:val="multilevel"/>
    <w:tmpl w:val="809EC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71DF434F"/>
    <w:multiLevelType w:val="hybridMultilevel"/>
    <w:tmpl w:val="E67C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53DD7"/>
    <w:multiLevelType w:val="hybridMultilevel"/>
    <w:tmpl w:val="7960DB06"/>
    <w:lvl w:ilvl="0" w:tplc="C3E024C4">
      <w:start w:val="1"/>
      <w:numFmt w:val="decimal"/>
      <w:pStyle w:val="Reference"/>
      <w:lvlText w:val="%1."/>
      <w:lvlJc w:val="left"/>
      <w:pPr>
        <w:tabs>
          <w:tab w:val="num" w:pos="720"/>
        </w:tabs>
        <w:ind w:left="720" w:hanging="720"/>
      </w:pPr>
      <w:rPr>
        <w:rFonts w:hint="default"/>
        <w:i w:val="0"/>
      </w:rPr>
    </w:lvl>
    <w:lvl w:ilvl="1" w:tplc="E82ED146" w:tentative="1">
      <w:start w:val="1"/>
      <w:numFmt w:val="lowerLetter"/>
      <w:lvlText w:val="%2."/>
      <w:lvlJc w:val="left"/>
      <w:pPr>
        <w:tabs>
          <w:tab w:val="num" w:pos="1440"/>
        </w:tabs>
        <w:ind w:left="1440" w:hanging="360"/>
      </w:pPr>
    </w:lvl>
    <w:lvl w:ilvl="2" w:tplc="DF4041DE" w:tentative="1">
      <w:start w:val="1"/>
      <w:numFmt w:val="lowerRoman"/>
      <w:lvlText w:val="%3."/>
      <w:lvlJc w:val="right"/>
      <w:pPr>
        <w:tabs>
          <w:tab w:val="num" w:pos="2160"/>
        </w:tabs>
        <w:ind w:left="2160" w:hanging="180"/>
      </w:pPr>
    </w:lvl>
    <w:lvl w:ilvl="3" w:tplc="52BA3BB6" w:tentative="1">
      <w:start w:val="1"/>
      <w:numFmt w:val="decimal"/>
      <w:lvlText w:val="%4."/>
      <w:lvlJc w:val="left"/>
      <w:pPr>
        <w:tabs>
          <w:tab w:val="num" w:pos="2880"/>
        </w:tabs>
        <w:ind w:left="2880" w:hanging="360"/>
      </w:pPr>
    </w:lvl>
    <w:lvl w:ilvl="4" w:tplc="11DCA16C" w:tentative="1">
      <w:start w:val="1"/>
      <w:numFmt w:val="lowerLetter"/>
      <w:lvlText w:val="%5."/>
      <w:lvlJc w:val="left"/>
      <w:pPr>
        <w:tabs>
          <w:tab w:val="num" w:pos="3600"/>
        </w:tabs>
        <w:ind w:left="3600" w:hanging="360"/>
      </w:pPr>
    </w:lvl>
    <w:lvl w:ilvl="5" w:tplc="55E48A64" w:tentative="1">
      <w:start w:val="1"/>
      <w:numFmt w:val="lowerRoman"/>
      <w:lvlText w:val="%6."/>
      <w:lvlJc w:val="right"/>
      <w:pPr>
        <w:tabs>
          <w:tab w:val="num" w:pos="4320"/>
        </w:tabs>
        <w:ind w:left="4320" w:hanging="180"/>
      </w:pPr>
    </w:lvl>
    <w:lvl w:ilvl="6" w:tplc="90BAC778" w:tentative="1">
      <w:start w:val="1"/>
      <w:numFmt w:val="decimal"/>
      <w:lvlText w:val="%7."/>
      <w:lvlJc w:val="left"/>
      <w:pPr>
        <w:tabs>
          <w:tab w:val="num" w:pos="5040"/>
        </w:tabs>
        <w:ind w:left="5040" w:hanging="360"/>
      </w:pPr>
    </w:lvl>
    <w:lvl w:ilvl="7" w:tplc="C41C0586" w:tentative="1">
      <w:start w:val="1"/>
      <w:numFmt w:val="lowerLetter"/>
      <w:lvlText w:val="%8."/>
      <w:lvlJc w:val="left"/>
      <w:pPr>
        <w:tabs>
          <w:tab w:val="num" w:pos="5760"/>
        </w:tabs>
        <w:ind w:left="5760" w:hanging="360"/>
      </w:pPr>
    </w:lvl>
    <w:lvl w:ilvl="8" w:tplc="3C281F5E" w:tentative="1">
      <w:start w:val="1"/>
      <w:numFmt w:val="lowerRoman"/>
      <w:lvlText w:val="%9."/>
      <w:lvlJc w:val="right"/>
      <w:pPr>
        <w:tabs>
          <w:tab w:val="num" w:pos="6480"/>
        </w:tabs>
        <w:ind w:left="6480" w:hanging="180"/>
      </w:pPr>
    </w:lvl>
  </w:abstractNum>
  <w:abstractNum w:abstractNumId="28" w15:restartNumberingAfterBreak="0">
    <w:nsid w:val="74A947F3"/>
    <w:multiLevelType w:val="hybridMultilevel"/>
    <w:tmpl w:val="F66C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07173"/>
    <w:multiLevelType w:val="hybridMultilevel"/>
    <w:tmpl w:val="1BD0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B5749"/>
    <w:multiLevelType w:val="hybridMultilevel"/>
    <w:tmpl w:val="B9EA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B48BE"/>
    <w:multiLevelType w:val="hybridMultilevel"/>
    <w:tmpl w:val="C324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A4F53"/>
    <w:multiLevelType w:val="hybridMultilevel"/>
    <w:tmpl w:val="E51607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CED6BAA"/>
    <w:multiLevelType w:val="hybridMultilevel"/>
    <w:tmpl w:val="6258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0"/>
  </w:num>
  <w:num w:numId="4">
    <w:abstractNumId w:val="9"/>
  </w:num>
  <w:num w:numId="5">
    <w:abstractNumId w:val="26"/>
  </w:num>
  <w:num w:numId="6">
    <w:abstractNumId w:val="28"/>
  </w:num>
  <w:num w:numId="7">
    <w:abstractNumId w:val="17"/>
  </w:num>
  <w:num w:numId="8">
    <w:abstractNumId w:val="3"/>
  </w:num>
  <w:num w:numId="9">
    <w:abstractNumId w:val="32"/>
  </w:num>
  <w:num w:numId="10">
    <w:abstractNumId w:val="6"/>
  </w:num>
  <w:num w:numId="11">
    <w:abstractNumId w:val="33"/>
  </w:num>
  <w:num w:numId="12">
    <w:abstractNumId w:val="11"/>
  </w:num>
  <w:num w:numId="13">
    <w:abstractNumId w:val="22"/>
  </w:num>
  <w:num w:numId="14">
    <w:abstractNumId w:val="0"/>
  </w:num>
  <w:num w:numId="15">
    <w:abstractNumId w:val="5"/>
  </w:num>
  <w:num w:numId="16">
    <w:abstractNumId w:val="7"/>
  </w:num>
  <w:num w:numId="17">
    <w:abstractNumId w:val="15"/>
  </w:num>
  <w:num w:numId="18">
    <w:abstractNumId w:val="16"/>
  </w:num>
  <w:num w:numId="19">
    <w:abstractNumId w:val="13"/>
  </w:num>
  <w:num w:numId="20">
    <w:abstractNumId w:val="30"/>
  </w:num>
  <w:num w:numId="21">
    <w:abstractNumId w:val="19"/>
  </w:num>
  <w:num w:numId="22">
    <w:abstractNumId w:val="8"/>
  </w:num>
  <w:num w:numId="23">
    <w:abstractNumId w:val="29"/>
  </w:num>
  <w:num w:numId="24">
    <w:abstractNumId w:val="21"/>
  </w:num>
  <w:num w:numId="25">
    <w:abstractNumId w:val="24"/>
  </w:num>
  <w:num w:numId="26">
    <w:abstractNumId w:val="18"/>
  </w:num>
  <w:num w:numId="27">
    <w:abstractNumId w:val="27"/>
  </w:num>
  <w:num w:numId="28">
    <w:abstractNumId w:val="2"/>
  </w:num>
  <w:num w:numId="29">
    <w:abstractNumId w:val="20"/>
  </w:num>
  <w:num w:numId="30">
    <w:abstractNumId w:val="31"/>
  </w:num>
  <w:num w:numId="31">
    <w:abstractNumId w:val="1"/>
  </w:num>
  <w:num w:numId="32">
    <w:abstractNumId w:val="23"/>
  </w:num>
  <w:num w:numId="33">
    <w:abstractNumId w:val="12"/>
  </w:num>
  <w:num w:numId="3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2MDI0szAxNTM3MTdS0lEKTi0uzszPAykwMjGqBQA20tVRLgAAAA=="/>
  </w:docVars>
  <w:rsids>
    <w:rsidRoot w:val="004A14C9"/>
    <w:rsid w:val="000005A2"/>
    <w:rsid w:val="00000C98"/>
    <w:rsid w:val="00001047"/>
    <w:rsid w:val="00001A1D"/>
    <w:rsid w:val="0000408B"/>
    <w:rsid w:val="000044C6"/>
    <w:rsid w:val="00004A62"/>
    <w:rsid w:val="00004C64"/>
    <w:rsid w:val="00004E95"/>
    <w:rsid w:val="0000500B"/>
    <w:rsid w:val="0000543F"/>
    <w:rsid w:val="00006DD4"/>
    <w:rsid w:val="00007A50"/>
    <w:rsid w:val="00007B8C"/>
    <w:rsid w:val="00010010"/>
    <w:rsid w:val="00010F88"/>
    <w:rsid w:val="0001120D"/>
    <w:rsid w:val="00011C04"/>
    <w:rsid w:val="00011EDC"/>
    <w:rsid w:val="00012913"/>
    <w:rsid w:val="00012CF8"/>
    <w:rsid w:val="0001421E"/>
    <w:rsid w:val="0001513F"/>
    <w:rsid w:val="00015563"/>
    <w:rsid w:val="00015BC3"/>
    <w:rsid w:val="00017083"/>
    <w:rsid w:val="00017627"/>
    <w:rsid w:val="00017C90"/>
    <w:rsid w:val="00017D0A"/>
    <w:rsid w:val="0002008B"/>
    <w:rsid w:val="00020294"/>
    <w:rsid w:val="0002078D"/>
    <w:rsid w:val="0002145B"/>
    <w:rsid w:val="000228A5"/>
    <w:rsid w:val="000229BF"/>
    <w:rsid w:val="00022CF3"/>
    <w:rsid w:val="0002372D"/>
    <w:rsid w:val="00024276"/>
    <w:rsid w:val="000247FE"/>
    <w:rsid w:val="00024C45"/>
    <w:rsid w:val="0002545F"/>
    <w:rsid w:val="000257CA"/>
    <w:rsid w:val="00025B8E"/>
    <w:rsid w:val="000262A5"/>
    <w:rsid w:val="00027054"/>
    <w:rsid w:val="000272E7"/>
    <w:rsid w:val="00027DE7"/>
    <w:rsid w:val="00027DF2"/>
    <w:rsid w:val="00030086"/>
    <w:rsid w:val="0003173A"/>
    <w:rsid w:val="00032A15"/>
    <w:rsid w:val="00032A4E"/>
    <w:rsid w:val="00032E20"/>
    <w:rsid w:val="00032E44"/>
    <w:rsid w:val="00033155"/>
    <w:rsid w:val="00033884"/>
    <w:rsid w:val="00034147"/>
    <w:rsid w:val="00034A1B"/>
    <w:rsid w:val="00034E3B"/>
    <w:rsid w:val="00035168"/>
    <w:rsid w:val="000355D3"/>
    <w:rsid w:val="0003676B"/>
    <w:rsid w:val="000368F7"/>
    <w:rsid w:val="00036D5D"/>
    <w:rsid w:val="000379D8"/>
    <w:rsid w:val="00037EF2"/>
    <w:rsid w:val="00037F64"/>
    <w:rsid w:val="00037FF9"/>
    <w:rsid w:val="000405B6"/>
    <w:rsid w:val="000405ED"/>
    <w:rsid w:val="00041069"/>
    <w:rsid w:val="000413FF"/>
    <w:rsid w:val="00041E2F"/>
    <w:rsid w:val="00041E5E"/>
    <w:rsid w:val="00042F80"/>
    <w:rsid w:val="000432CA"/>
    <w:rsid w:val="00044268"/>
    <w:rsid w:val="000457B9"/>
    <w:rsid w:val="00045AE3"/>
    <w:rsid w:val="00045D5B"/>
    <w:rsid w:val="00046F66"/>
    <w:rsid w:val="00047D66"/>
    <w:rsid w:val="00047FEF"/>
    <w:rsid w:val="000505A2"/>
    <w:rsid w:val="00050B23"/>
    <w:rsid w:val="00050DE3"/>
    <w:rsid w:val="00051148"/>
    <w:rsid w:val="00051DDA"/>
    <w:rsid w:val="000521FB"/>
    <w:rsid w:val="00052B46"/>
    <w:rsid w:val="00054C13"/>
    <w:rsid w:val="00055317"/>
    <w:rsid w:val="0005624F"/>
    <w:rsid w:val="000571A6"/>
    <w:rsid w:val="00060542"/>
    <w:rsid w:val="00060F6D"/>
    <w:rsid w:val="00063328"/>
    <w:rsid w:val="0006389C"/>
    <w:rsid w:val="00064A83"/>
    <w:rsid w:val="0006541D"/>
    <w:rsid w:val="000658E0"/>
    <w:rsid w:val="000659D5"/>
    <w:rsid w:val="0006661B"/>
    <w:rsid w:val="00066706"/>
    <w:rsid w:val="000667E4"/>
    <w:rsid w:val="000674AD"/>
    <w:rsid w:val="00067874"/>
    <w:rsid w:val="00070208"/>
    <w:rsid w:val="0007034E"/>
    <w:rsid w:val="00070D3B"/>
    <w:rsid w:val="000714BA"/>
    <w:rsid w:val="00071919"/>
    <w:rsid w:val="00072C25"/>
    <w:rsid w:val="00072CA5"/>
    <w:rsid w:val="000734AE"/>
    <w:rsid w:val="00074D05"/>
    <w:rsid w:val="00075128"/>
    <w:rsid w:val="00076223"/>
    <w:rsid w:val="000764B6"/>
    <w:rsid w:val="000771E5"/>
    <w:rsid w:val="00077515"/>
    <w:rsid w:val="00077FDA"/>
    <w:rsid w:val="00080D4D"/>
    <w:rsid w:val="000812FE"/>
    <w:rsid w:val="00081AF7"/>
    <w:rsid w:val="00082D9D"/>
    <w:rsid w:val="00083326"/>
    <w:rsid w:val="00083360"/>
    <w:rsid w:val="00083AC7"/>
    <w:rsid w:val="000844A8"/>
    <w:rsid w:val="000846FE"/>
    <w:rsid w:val="00084B14"/>
    <w:rsid w:val="00087808"/>
    <w:rsid w:val="00087EBA"/>
    <w:rsid w:val="000906BC"/>
    <w:rsid w:val="00090F73"/>
    <w:rsid w:val="00090FEC"/>
    <w:rsid w:val="00091CBD"/>
    <w:rsid w:val="00092302"/>
    <w:rsid w:val="000923D5"/>
    <w:rsid w:val="00092D7F"/>
    <w:rsid w:val="00092FA1"/>
    <w:rsid w:val="00093334"/>
    <w:rsid w:val="000934C2"/>
    <w:rsid w:val="00093776"/>
    <w:rsid w:val="00093A7E"/>
    <w:rsid w:val="00095A20"/>
    <w:rsid w:val="00095DF5"/>
    <w:rsid w:val="0009660A"/>
    <w:rsid w:val="00096B14"/>
    <w:rsid w:val="00097A24"/>
    <w:rsid w:val="000A0283"/>
    <w:rsid w:val="000A0879"/>
    <w:rsid w:val="000A1123"/>
    <w:rsid w:val="000A206E"/>
    <w:rsid w:val="000A29DE"/>
    <w:rsid w:val="000A3326"/>
    <w:rsid w:val="000A37BB"/>
    <w:rsid w:val="000A412D"/>
    <w:rsid w:val="000A4142"/>
    <w:rsid w:val="000A4603"/>
    <w:rsid w:val="000A506A"/>
    <w:rsid w:val="000A5272"/>
    <w:rsid w:val="000A52FA"/>
    <w:rsid w:val="000A54D6"/>
    <w:rsid w:val="000A5C21"/>
    <w:rsid w:val="000A7E8A"/>
    <w:rsid w:val="000B22E0"/>
    <w:rsid w:val="000B271E"/>
    <w:rsid w:val="000B39B9"/>
    <w:rsid w:val="000B40B4"/>
    <w:rsid w:val="000B4221"/>
    <w:rsid w:val="000B5EA7"/>
    <w:rsid w:val="000B5F57"/>
    <w:rsid w:val="000B6DBE"/>
    <w:rsid w:val="000C0080"/>
    <w:rsid w:val="000C01EB"/>
    <w:rsid w:val="000C1BB9"/>
    <w:rsid w:val="000C1F4A"/>
    <w:rsid w:val="000C231E"/>
    <w:rsid w:val="000C28C4"/>
    <w:rsid w:val="000C2EB1"/>
    <w:rsid w:val="000C2F82"/>
    <w:rsid w:val="000C3192"/>
    <w:rsid w:val="000C325D"/>
    <w:rsid w:val="000C333D"/>
    <w:rsid w:val="000C3E6F"/>
    <w:rsid w:val="000C3EAF"/>
    <w:rsid w:val="000C4617"/>
    <w:rsid w:val="000C4A26"/>
    <w:rsid w:val="000C4FCA"/>
    <w:rsid w:val="000C523F"/>
    <w:rsid w:val="000C5AF6"/>
    <w:rsid w:val="000C5E49"/>
    <w:rsid w:val="000C634D"/>
    <w:rsid w:val="000C6758"/>
    <w:rsid w:val="000C78C0"/>
    <w:rsid w:val="000C7C22"/>
    <w:rsid w:val="000D080A"/>
    <w:rsid w:val="000D086C"/>
    <w:rsid w:val="000D09F9"/>
    <w:rsid w:val="000D0E9A"/>
    <w:rsid w:val="000D216B"/>
    <w:rsid w:val="000D30A9"/>
    <w:rsid w:val="000D3392"/>
    <w:rsid w:val="000D3978"/>
    <w:rsid w:val="000D433D"/>
    <w:rsid w:val="000D49C8"/>
    <w:rsid w:val="000D4A88"/>
    <w:rsid w:val="000D4F9A"/>
    <w:rsid w:val="000D507B"/>
    <w:rsid w:val="000D5E2C"/>
    <w:rsid w:val="000D6BA2"/>
    <w:rsid w:val="000D7067"/>
    <w:rsid w:val="000D786D"/>
    <w:rsid w:val="000D7F28"/>
    <w:rsid w:val="000E1241"/>
    <w:rsid w:val="000E1742"/>
    <w:rsid w:val="000E18B3"/>
    <w:rsid w:val="000E1F54"/>
    <w:rsid w:val="000E289E"/>
    <w:rsid w:val="000E29FE"/>
    <w:rsid w:val="000E355B"/>
    <w:rsid w:val="000E3E73"/>
    <w:rsid w:val="000E46B0"/>
    <w:rsid w:val="000E5197"/>
    <w:rsid w:val="000E583D"/>
    <w:rsid w:val="000E5C4A"/>
    <w:rsid w:val="000E6774"/>
    <w:rsid w:val="000E6B17"/>
    <w:rsid w:val="000F1905"/>
    <w:rsid w:val="000F1A32"/>
    <w:rsid w:val="000F1D10"/>
    <w:rsid w:val="000F27C0"/>
    <w:rsid w:val="000F2A74"/>
    <w:rsid w:val="000F2D02"/>
    <w:rsid w:val="000F30F8"/>
    <w:rsid w:val="000F3430"/>
    <w:rsid w:val="000F3FA0"/>
    <w:rsid w:val="000F3FB7"/>
    <w:rsid w:val="000F49E8"/>
    <w:rsid w:val="000F4F31"/>
    <w:rsid w:val="000F5D36"/>
    <w:rsid w:val="000F6106"/>
    <w:rsid w:val="000F62B7"/>
    <w:rsid w:val="000F6555"/>
    <w:rsid w:val="000F76A9"/>
    <w:rsid w:val="000F76DE"/>
    <w:rsid w:val="001005CD"/>
    <w:rsid w:val="00101BDC"/>
    <w:rsid w:val="001024CE"/>
    <w:rsid w:val="00104F72"/>
    <w:rsid w:val="00105216"/>
    <w:rsid w:val="00105E8A"/>
    <w:rsid w:val="00105F6E"/>
    <w:rsid w:val="001062F4"/>
    <w:rsid w:val="00106933"/>
    <w:rsid w:val="00106C14"/>
    <w:rsid w:val="001074C4"/>
    <w:rsid w:val="001100C3"/>
    <w:rsid w:val="00110B30"/>
    <w:rsid w:val="001112D4"/>
    <w:rsid w:val="0011160F"/>
    <w:rsid w:val="00111C92"/>
    <w:rsid w:val="0011216D"/>
    <w:rsid w:val="00112253"/>
    <w:rsid w:val="0011300A"/>
    <w:rsid w:val="00113216"/>
    <w:rsid w:val="00113963"/>
    <w:rsid w:val="001154AF"/>
    <w:rsid w:val="0011592A"/>
    <w:rsid w:val="00116212"/>
    <w:rsid w:val="00117CD2"/>
    <w:rsid w:val="001214FC"/>
    <w:rsid w:val="00121A23"/>
    <w:rsid w:val="00123FCB"/>
    <w:rsid w:val="0012499D"/>
    <w:rsid w:val="00124A36"/>
    <w:rsid w:val="00124B0D"/>
    <w:rsid w:val="00125582"/>
    <w:rsid w:val="00126EF2"/>
    <w:rsid w:val="00127CF6"/>
    <w:rsid w:val="00130F4E"/>
    <w:rsid w:val="00130FFA"/>
    <w:rsid w:val="0013175E"/>
    <w:rsid w:val="0013201B"/>
    <w:rsid w:val="00132C24"/>
    <w:rsid w:val="00133345"/>
    <w:rsid w:val="00133A9D"/>
    <w:rsid w:val="00133EF5"/>
    <w:rsid w:val="00133F6C"/>
    <w:rsid w:val="001340DD"/>
    <w:rsid w:val="00134170"/>
    <w:rsid w:val="00134373"/>
    <w:rsid w:val="00134878"/>
    <w:rsid w:val="001356A9"/>
    <w:rsid w:val="0013606D"/>
    <w:rsid w:val="00136088"/>
    <w:rsid w:val="0013630B"/>
    <w:rsid w:val="00137D97"/>
    <w:rsid w:val="00140256"/>
    <w:rsid w:val="00140487"/>
    <w:rsid w:val="00140CA1"/>
    <w:rsid w:val="00141739"/>
    <w:rsid w:val="00142885"/>
    <w:rsid w:val="00142A14"/>
    <w:rsid w:val="00143320"/>
    <w:rsid w:val="00144EE1"/>
    <w:rsid w:val="00145C3D"/>
    <w:rsid w:val="001463FE"/>
    <w:rsid w:val="001465B6"/>
    <w:rsid w:val="0014780F"/>
    <w:rsid w:val="00150A75"/>
    <w:rsid w:val="00150BE5"/>
    <w:rsid w:val="00151658"/>
    <w:rsid w:val="00151C90"/>
    <w:rsid w:val="00151F97"/>
    <w:rsid w:val="00152360"/>
    <w:rsid w:val="0015309D"/>
    <w:rsid w:val="00153939"/>
    <w:rsid w:val="0015410D"/>
    <w:rsid w:val="0015460D"/>
    <w:rsid w:val="001547B3"/>
    <w:rsid w:val="0015488A"/>
    <w:rsid w:val="00154B42"/>
    <w:rsid w:val="00156359"/>
    <w:rsid w:val="0015639B"/>
    <w:rsid w:val="00156751"/>
    <w:rsid w:val="00157011"/>
    <w:rsid w:val="0015727D"/>
    <w:rsid w:val="001577DF"/>
    <w:rsid w:val="0016140A"/>
    <w:rsid w:val="0016195A"/>
    <w:rsid w:val="00161F0D"/>
    <w:rsid w:val="001621D5"/>
    <w:rsid w:val="001633F4"/>
    <w:rsid w:val="00164427"/>
    <w:rsid w:val="0016565D"/>
    <w:rsid w:val="001658B0"/>
    <w:rsid w:val="001662C8"/>
    <w:rsid w:val="001663A5"/>
    <w:rsid w:val="00166602"/>
    <w:rsid w:val="00166859"/>
    <w:rsid w:val="0016791C"/>
    <w:rsid w:val="00170884"/>
    <w:rsid w:val="00170F25"/>
    <w:rsid w:val="00170FBD"/>
    <w:rsid w:val="00171E53"/>
    <w:rsid w:val="00171FD9"/>
    <w:rsid w:val="0017450F"/>
    <w:rsid w:val="0017501A"/>
    <w:rsid w:val="00175095"/>
    <w:rsid w:val="00175B50"/>
    <w:rsid w:val="00175B79"/>
    <w:rsid w:val="00176425"/>
    <w:rsid w:val="0017677C"/>
    <w:rsid w:val="00177113"/>
    <w:rsid w:val="0017773E"/>
    <w:rsid w:val="001777F1"/>
    <w:rsid w:val="0018048B"/>
    <w:rsid w:val="001807B7"/>
    <w:rsid w:val="00181DBE"/>
    <w:rsid w:val="00182A41"/>
    <w:rsid w:val="00182B91"/>
    <w:rsid w:val="00183C6C"/>
    <w:rsid w:val="00184AD0"/>
    <w:rsid w:val="0018512D"/>
    <w:rsid w:val="00185309"/>
    <w:rsid w:val="00185D26"/>
    <w:rsid w:val="00186642"/>
    <w:rsid w:val="00186981"/>
    <w:rsid w:val="00187F08"/>
    <w:rsid w:val="00191743"/>
    <w:rsid w:val="00191901"/>
    <w:rsid w:val="001925A2"/>
    <w:rsid w:val="00192A26"/>
    <w:rsid w:val="00192A91"/>
    <w:rsid w:val="00192D1A"/>
    <w:rsid w:val="00193F62"/>
    <w:rsid w:val="00194416"/>
    <w:rsid w:val="00195189"/>
    <w:rsid w:val="001961C2"/>
    <w:rsid w:val="00197919"/>
    <w:rsid w:val="00197AEC"/>
    <w:rsid w:val="00197C51"/>
    <w:rsid w:val="00197F4B"/>
    <w:rsid w:val="001A07C5"/>
    <w:rsid w:val="001A1862"/>
    <w:rsid w:val="001A30EB"/>
    <w:rsid w:val="001A3238"/>
    <w:rsid w:val="001A3A5A"/>
    <w:rsid w:val="001A434F"/>
    <w:rsid w:val="001A4D82"/>
    <w:rsid w:val="001A4EB3"/>
    <w:rsid w:val="001A519A"/>
    <w:rsid w:val="001A651E"/>
    <w:rsid w:val="001A71EF"/>
    <w:rsid w:val="001B0D7E"/>
    <w:rsid w:val="001B105C"/>
    <w:rsid w:val="001B2085"/>
    <w:rsid w:val="001B236C"/>
    <w:rsid w:val="001B2575"/>
    <w:rsid w:val="001B3C3D"/>
    <w:rsid w:val="001B3CCA"/>
    <w:rsid w:val="001B3DD3"/>
    <w:rsid w:val="001B401B"/>
    <w:rsid w:val="001B44E7"/>
    <w:rsid w:val="001B4544"/>
    <w:rsid w:val="001B49E1"/>
    <w:rsid w:val="001B4B8E"/>
    <w:rsid w:val="001B4E26"/>
    <w:rsid w:val="001B4F3D"/>
    <w:rsid w:val="001B51EA"/>
    <w:rsid w:val="001B5CDC"/>
    <w:rsid w:val="001B5D73"/>
    <w:rsid w:val="001B66B2"/>
    <w:rsid w:val="001B6A9D"/>
    <w:rsid w:val="001B7391"/>
    <w:rsid w:val="001C1D19"/>
    <w:rsid w:val="001C1D1B"/>
    <w:rsid w:val="001C2854"/>
    <w:rsid w:val="001C28CA"/>
    <w:rsid w:val="001C2AED"/>
    <w:rsid w:val="001C2C1D"/>
    <w:rsid w:val="001C2CE8"/>
    <w:rsid w:val="001C3214"/>
    <w:rsid w:val="001C4CC7"/>
    <w:rsid w:val="001C4D5D"/>
    <w:rsid w:val="001C50D1"/>
    <w:rsid w:val="001C6312"/>
    <w:rsid w:val="001C642D"/>
    <w:rsid w:val="001C6EE6"/>
    <w:rsid w:val="001C7177"/>
    <w:rsid w:val="001C7A51"/>
    <w:rsid w:val="001D0609"/>
    <w:rsid w:val="001D084B"/>
    <w:rsid w:val="001D0F97"/>
    <w:rsid w:val="001D1898"/>
    <w:rsid w:val="001D1C57"/>
    <w:rsid w:val="001D2257"/>
    <w:rsid w:val="001D48B2"/>
    <w:rsid w:val="001D4B50"/>
    <w:rsid w:val="001D6A28"/>
    <w:rsid w:val="001D6C76"/>
    <w:rsid w:val="001D7002"/>
    <w:rsid w:val="001E0F09"/>
    <w:rsid w:val="001E16C8"/>
    <w:rsid w:val="001E1A22"/>
    <w:rsid w:val="001E1C32"/>
    <w:rsid w:val="001E2372"/>
    <w:rsid w:val="001E391A"/>
    <w:rsid w:val="001E43AC"/>
    <w:rsid w:val="001E54B5"/>
    <w:rsid w:val="001E5CAE"/>
    <w:rsid w:val="001E69C9"/>
    <w:rsid w:val="001E7663"/>
    <w:rsid w:val="001E76E1"/>
    <w:rsid w:val="001E791F"/>
    <w:rsid w:val="001E7963"/>
    <w:rsid w:val="001F0098"/>
    <w:rsid w:val="001F10EC"/>
    <w:rsid w:val="001F1264"/>
    <w:rsid w:val="001F168D"/>
    <w:rsid w:val="001F22C5"/>
    <w:rsid w:val="001F380A"/>
    <w:rsid w:val="001F3D85"/>
    <w:rsid w:val="001F4993"/>
    <w:rsid w:val="001F50B4"/>
    <w:rsid w:val="001F5A02"/>
    <w:rsid w:val="001F64CE"/>
    <w:rsid w:val="001F64E7"/>
    <w:rsid w:val="001F67C0"/>
    <w:rsid w:val="001F6E1A"/>
    <w:rsid w:val="001F7296"/>
    <w:rsid w:val="002002A8"/>
    <w:rsid w:val="00201517"/>
    <w:rsid w:val="002019F0"/>
    <w:rsid w:val="00201EBA"/>
    <w:rsid w:val="00202339"/>
    <w:rsid w:val="002024C8"/>
    <w:rsid w:val="00202794"/>
    <w:rsid w:val="0020366B"/>
    <w:rsid w:val="00203C14"/>
    <w:rsid w:val="00204A49"/>
    <w:rsid w:val="00204F74"/>
    <w:rsid w:val="0020574E"/>
    <w:rsid w:val="0020618B"/>
    <w:rsid w:val="00207315"/>
    <w:rsid w:val="00210874"/>
    <w:rsid w:val="00210ABC"/>
    <w:rsid w:val="002111A7"/>
    <w:rsid w:val="0021167C"/>
    <w:rsid w:val="00211717"/>
    <w:rsid w:val="00212219"/>
    <w:rsid w:val="00212469"/>
    <w:rsid w:val="0021289E"/>
    <w:rsid w:val="002128BC"/>
    <w:rsid w:val="0021320C"/>
    <w:rsid w:val="0021348E"/>
    <w:rsid w:val="002134A4"/>
    <w:rsid w:val="00213AD7"/>
    <w:rsid w:val="00213CDE"/>
    <w:rsid w:val="002140AE"/>
    <w:rsid w:val="00214BC3"/>
    <w:rsid w:val="00215B1A"/>
    <w:rsid w:val="00215EDA"/>
    <w:rsid w:val="00216488"/>
    <w:rsid w:val="00216922"/>
    <w:rsid w:val="00217312"/>
    <w:rsid w:val="002174A7"/>
    <w:rsid w:val="00217724"/>
    <w:rsid w:val="00217CFA"/>
    <w:rsid w:val="00220D15"/>
    <w:rsid w:val="00221735"/>
    <w:rsid w:val="0022215C"/>
    <w:rsid w:val="0022231D"/>
    <w:rsid w:val="00222DF4"/>
    <w:rsid w:val="0022356D"/>
    <w:rsid w:val="00223887"/>
    <w:rsid w:val="00223BD0"/>
    <w:rsid w:val="00224562"/>
    <w:rsid w:val="002266B6"/>
    <w:rsid w:val="00227B48"/>
    <w:rsid w:val="00227DFF"/>
    <w:rsid w:val="00227E76"/>
    <w:rsid w:val="00227F68"/>
    <w:rsid w:val="00230EFA"/>
    <w:rsid w:val="0023182C"/>
    <w:rsid w:val="00231AF6"/>
    <w:rsid w:val="00231C80"/>
    <w:rsid w:val="00231E06"/>
    <w:rsid w:val="00232603"/>
    <w:rsid w:val="00233338"/>
    <w:rsid w:val="00233DFD"/>
    <w:rsid w:val="00234027"/>
    <w:rsid w:val="0023419B"/>
    <w:rsid w:val="00235D00"/>
    <w:rsid w:val="00235E2D"/>
    <w:rsid w:val="00236517"/>
    <w:rsid w:val="002366E2"/>
    <w:rsid w:val="0023689C"/>
    <w:rsid w:val="00236D38"/>
    <w:rsid w:val="00236D57"/>
    <w:rsid w:val="002372E7"/>
    <w:rsid w:val="00237945"/>
    <w:rsid w:val="00237B77"/>
    <w:rsid w:val="0024074B"/>
    <w:rsid w:val="00240DA2"/>
    <w:rsid w:val="00241933"/>
    <w:rsid w:val="00242078"/>
    <w:rsid w:val="00244035"/>
    <w:rsid w:val="00244B21"/>
    <w:rsid w:val="002456AC"/>
    <w:rsid w:val="00246614"/>
    <w:rsid w:val="00246DA8"/>
    <w:rsid w:val="00247F53"/>
    <w:rsid w:val="00250441"/>
    <w:rsid w:val="00250D19"/>
    <w:rsid w:val="00250F5E"/>
    <w:rsid w:val="00251112"/>
    <w:rsid w:val="00251A35"/>
    <w:rsid w:val="00251D7F"/>
    <w:rsid w:val="00252722"/>
    <w:rsid w:val="00254522"/>
    <w:rsid w:val="002572CC"/>
    <w:rsid w:val="00257745"/>
    <w:rsid w:val="0025784E"/>
    <w:rsid w:val="002605D8"/>
    <w:rsid w:val="002620BA"/>
    <w:rsid w:val="00262114"/>
    <w:rsid w:val="00262ABB"/>
    <w:rsid w:val="00262DD7"/>
    <w:rsid w:val="00262EDB"/>
    <w:rsid w:val="002635BE"/>
    <w:rsid w:val="002635F8"/>
    <w:rsid w:val="00264331"/>
    <w:rsid w:val="00264358"/>
    <w:rsid w:val="002646F4"/>
    <w:rsid w:val="00265512"/>
    <w:rsid w:val="00265F25"/>
    <w:rsid w:val="00266D8C"/>
    <w:rsid w:val="0026748A"/>
    <w:rsid w:val="00267E78"/>
    <w:rsid w:val="00270103"/>
    <w:rsid w:val="002709F4"/>
    <w:rsid w:val="00270D45"/>
    <w:rsid w:val="00271700"/>
    <w:rsid w:val="00271896"/>
    <w:rsid w:val="00271A48"/>
    <w:rsid w:val="00271C39"/>
    <w:rsid w:val="00276386"/>
    <w:rsid w:val="00276F67"/>
    <w:rsid w:val="002770A7"/>
    <w:rsid w:val="00277F2D"/>
    <w:rsid w:val="002800EC"/>
    <w:rsid w:val="00280A36"/>
    <w:rsid w:val="002812A8"/>
    <w:rsid w:val="00281E6E"/>
    <w:rsid w:val="00283121"/>
    <w:rsid w:val="00283436"/>
    <w:rsid w:val="002835CD"/>
    <w:rsid w:val="002837BF"/>
    <w:rsid w:val="0028488D"/>
    <w:rsid w:val="00284B74"/>
    <w:rsid w:val="0028570D"/>
    <w:rsid w:val="00285715"/>
    <w:rsid w:val="0028579A"/>
    <w:rsid w:val="00285898"/>
    <w:rsid w:val="00285C7A"/>
    <w:rsid w:val="002860FD"/>
    <w:rsid w:val="002862B0"/>
    <w:rsid w:val="00286E6E"/>
    <w:rsid w:val="00287019"/>
    <w:rsid w:val="002870D1"/>
    <w:rsid w:val="002902ED"/>
    <w:rsid w:val="0029139F"/>
    <w:rsid w:val="00291A4E"/>
    <w:rsid w:val="0029237C"/>
    <w:rsid w:val="0029270E"/>
    <w:rsid w:val="00292A75"/>
    <w:rsid w:val="002936A8"/>
    <w:rsid w:val="002938DD"/>
    <w:rsid w:val="0029492D"/>
    <w:rsid w:val="00294C94"/>
    <w:rsid w:val="00295C43"/>
    <w:rsid w:val="0029675F"/>
    <w:rsid w:val="00296AA8"/>
    <w:rsid w:val="00296EAC"/>
    <w:rsid w:val="0029745B"/>
    <w:rsid w:val="002A0327"/>
    <w:rsid w:val="002A06D7"/>
    <w:rsid w:val="002A2264"/>
    <w:rsid w:val="002A2743"/>
    <w:rsid w:val="002A29C7"/>
    <w:rsid w:val="002A3A13"/>
    <w:rsid w:val="002A44E9"/>
    <w:rsid w:val="002A473A"/>
    <w:rsid w:val="002A6AC6"/>
    <w:rsid w:val="002B0715"/>
    <w:rsid w:val="002B0865"/>
    <w:rsid w:val="002B0BAF"/>
    <w:rsid w:val="002B1428"/>
    <w:rsid w:val="002B1A9D"/>
    <w:rsid w:val="002B1BB6"/>
    <w:rsid w:val="002B237C"/>
    <w:rsid w:val="002B24E0"/>
    <w:rsid w:val="002B296E"/>
    <w:rsid w:val="002B2AD0"/>
    <w:rsid w:val="002B2DC4"/>
    <w:rsid w:val="002B3F57"/>
    <w:rsid w:val="002B42B8"/>
    <w:rsid w:val="002B46F8"/>
    <w:rsid w:val="002B47C1"/>
    <w:rsid w:val="002B4F3D"/>
    <w:rsid w:val="002B4F87"/>
    <w:rsid w:val="002B6846"/>
    <w:rsid w:val="002B7D79"/>
    <w:rsid w:val="002C0068"/>
    <w:rsid w:val="002C115A"/>
    <w:rsid w:val="002C1760"/>
    <w:rsid w:val="002C1B1C"/>
    <w:rsid w:val="002C1C8E"/>
    <w:rsid w:val="002C213E"/>
    <w:rsid w:val="002C2484"/>
    <w:rsid w:val="002C2532"/>
    <w:rsid w:val="002C2E1E"/>
    <w:rsid w:val="002C2FA5"/>
    <w:rsid w:val="002C304E"/>
    <w:rsid w:val="002C313A"/>
    <w:rsid w:val="002C3278"/>
    <w:rsid w:val="002C3611"/>
    <w:rsid w:val="002C3ED2"/>
    <w:rsid w:val="002C3F5D"/>
    <w:rsid w:val="002C40FE"/>
    <w:rsid w:val="002C5726"/>
    <w:rsid w:val="002C5CF1"/>
    <w:rsid w:val="002C63B1"/>
    <w:rsid w:val="002C67C1"/>
    <w:rsid w:val="002C6A8B"/>
    <w:rsid w:val="002C7B1F"/>
    <w:rsid w:val="002D00FE"/>
    <w:rsid w:val="002D0600"/>
    <w:rsid w:val="002D11B9"/>
    <w:rsid w:val="002D132F"/>
    <w:rsid w:val="002D187F"/>
    <w:rsid w:val="002D19AF"/>
    <w:rsid w:val="002D31C5"/>
    <w:rsid w:val="002D42CC"/>
    <w:rsid w:val="002D4C31"/>
    <w:rsid w:val="002D4F39"/>
    <w:rsid w:val="002D542A"/>
    <w:rsid w:val="002D62F8"/>
    <w:rsid w:val="002D671C"/>
    <w:rsid w:val="002D7104"/>
    <w:rsid w:val="002E07DA"/>
    <w:rsid w:val="002E0905"/>
    <w:rsid w:val="002E0FFF"/>
    <w:rsid w:val="002E11CC"/>
    <w:rsid w:val="002E1451"/>
    <w:rsid w:val="002E15F3"/>
    <w:rsid w:val="002E1DCD"/>
    <w:rsid w:val="002E220B"/>
    <w:rsid w:val="002E223D"/>
    <w:rsid w:val="002E2629"/>
    <w:rsid w:val="002E286C"/>
    <w:rsid w:val="002E2C03"/>
    <w:rsid w:val="002E3A7E"/>
    <w:rsid w:val="002E3D63"/>
    <w:rsid w:val="002E40A4"/>
    <w:rsid w:val="002E4234"/>
    <w:rsid w:val="002E458B"/>
    <w:rsid w:val="002E4768"/>
    <w:rsid w:val="002E4A24"/>
    <w:rsid w:val="002E5238"/>
    <w:rsid w:val="002E5428"/>
    <w:rsid w:val="002E5749"/>
    <w:rsid w:val="002E58D0"/>
    <w:rsid w:val="002E5F56"/>
    <w:rsid w:val="002E7FB3"/>
    <w:rsid w:val="002F06F7"/>
    <w:rsid w:val="002F0C9D"/>
    <w:rsid w:val="002F0EF7"/>
    <w:rsid w:val="002F1855"/>
    <w:rsid w:val="002F1A44"/>
    <w:rsid w:val="002F20FC"/>
    <w:rsid w:val="002F2EA8"/>
    <w:rsid w:val="002F301E"/>
    <w:rsid w:val="002F34E0"/>
    <w:rsid w:val="002F3CD0"/>
    <w:rsid w:val="002F4524"/>
    <w:rsid w:val="002F4B80"/>
    <w:rsid w:val="002F5716"/>
    <w:rsid w:val="002F58EE"/>
    <w:rsid w:val="002F6515"/>
    <w:rsid w:val="002F662D"/>
    <w:rsid w:val="002F6B85"/>
    <w:rsid w:val="002F6BB0"/>
    <w:rsid w:val="002F6D46"/>
    <w:rsid w:val="002F705A"/>
    <w:rsid w:val="002F716C"/>
    <w:rsid w:val="002F742D"/>
    <w:rsid w:val="002F755C"/>
    <w:rsid w:val="003004C2"/>
    <w:rsid w:val="00301C63"/>
    <w:rsid w:val="00302D79"/>
    <w:rsid w:val="003031A8"/>
    <w:rsid w:val="003037C3"/>
    <w:rsid w:val="00303B0C"/>
    <w:rsid w:val="00303C2D"/>
    <w:rsid w:val="00303E78"/>
    <w:rsid w:val="00303F8F"/>
    <w:rsid w:val="0030451A"/>
    <w:rsid w:val="00304A77"/>
    <w:rsid w:val="003052E2"/>
    <w:rsid w:val="00305E02"/>
    <w:rsid w:val="0030632B"/>
    <w:rsid w:val="00306510"/>
    <w:rsid w:val="0030674C"/>
    <w:rsid w:val="00307195"/>
    <w:rsid w:val="00307573"/>
    <w:rsid w:val="00307852"/>
    <w:rsid w:val="00307BBC"/>
    <w:rsid w:val="00307D42"/>
    <w:rsid w:val="00310052"/>
    <w:rsid w:val="003113A2"/>
    <w:rsid w:val="00311DD6"/>
    <w:rsid w:val="003123FA"/>
    <w:rsid w:val="00312863"/>
    <w:rsid w:val="003130D3"/>
    <w:rsid w:val="003132CC"/>
    <w:rsid w:val="003132E3"/>
    <w:rsid w:val="00313F55"/>
    <w:rsid w:val="00314F6D"/>
    <w:rsid w:val="003157E9"/>
    <w:rsid w:val="00316273"/>
    <w:rsid w:val="00316FC8"/>
    <w:rsid w:val="00317BA1"/>
    <w:rsid w:val="00321148"/>
    <w:rsid w:val="003216EE"/>
    <w:rsid w:val="00321DE0"/>
    <w:rsid w:val="0032224F"/>
    <w:rsid w:val="003222C0"/>
    <w:rsid w:val="003223B3"/>
    <w:rsid w:val="00322638"/>
    <w:rsid w:val="00322934"/>
    <w:rsid w:val="00322CF2"/>
    <w:rsid w:val="00323119"/>
    <w:rsid w:val="00323E16"/>
    <w:rsid w:val="00323ED6"/>
    <w:rsid w:val="003247BD"/>
    <w:rsid w:val="003255D6"/>
    <w:rsid w:val="00325AD9"/>
    <w:rsid w:val="00325F68"/>
    <w:rsid w:val="003268F8"/>
    <w:rsid w:val="00327716"/>
    <w:rsid w:val="003302B6"/>
    <w:rsid w:val="003329F5"/>
    <w:rsid w:val="00332C93"/>
    <w:rsid w:val="003330F8"/>
    <w:rsid w:val="0033487B"/>
    <w:rsid w:val="00336353"/>
    <w:rsid w:val="00336661"/>
    <w:rsid w:val="00336BF8"/>
    <w:rsid w:val="003371AC"/>
    <w:rsid w:val="00337327"/>
    <w:rsid w:val="00337652"/>
    <w:rsid w:val="00337A91"/>
    <w:rsid w:val="00340057"/>
    <w:rsid w:val="003402F7"/>
    <w:rsid w:val="0034124F"/>
    <w:rsid w:val="00341558"/>
    <w:rsid w:val="00341BC2"/>
    <w:rsid w:val="00342126"/>
    <w:rsid w:val="00342C76"/>
    <w:rsid w:val="00343224"/>
    <w:rsid w:val="003437BC"/>
    <w:rsid w:val="00343FD3"/>
    <w:rsid w:val="00344214"/>
    <w:rsid w:val="00344AA1"/>
    <w:rsid w:val="003450E8"/>
    <w:rsid w:val="00346511"/>
    <w:rsid w:val="003475A6"/>
    <w:rsid w:val="0034785A"/>
    <w:rsid w:val="00347B59"/>
    <w:rsid w:val="003506DD"/>
    <w:rsid w:val="003509A7"/>
    <w:rsid w:val="00350B20"/>
    <w:rsid w:val="00350C0D"/>
    <w:rsid w:val="00351C05"/>
    <w:rsid w:val="00353BF0"/>
    <w:rsid w:val="00355057"/>
    <w:rsid w:val="00355062"/>
    <w:rsid w:val="00355174"/>
    <w:rsid w:val="003558F4"/>
    <w:rsid w:val="00355F48"/>
    <w:rsid w:val="0035617E"/>
    <w:rsid w:val="00356AD2"/>
    <w:rsid w:val="00357184"/>
    <w:rsid w:val="0035732D"/>
    <w:rsid w:val="003575D2"/>
    <w:rsid w:val="003578A5"/>
    <w:rsid w:val="00357BA2"/>
    <w:rsid w:val="00357FBF"/>
    <w:rsid w:val="00360924"/>
    <w:rsid w:val="00360AA8"/>
    <w:rsid w:val="00361083"/>
    <w:rsid w:val="0036143D"/>
    <w:rsid w:val="003614BC"/>
    <w:rsid w:val="00361B96"/>
    <w:rsid w:val="00361CC4"/>
    <w:rsid w:val="00362AB7"/>
    <w:rsid w:val="00364C93"/>
    <w:rsid w:val="0036530E"/>
    <w:rsid w:val="0036537C"/>
    <w:rsid w:val="00365FC6"/>
    <w:rsid w:val="00366D49"/>
    <w:rsid w:val="00366F84"/>
    <w:rsid w:val="00367677"/>
    <w:rsid w:val="00370165"/>
    <w:rsid w:val="003701C4"/>
    <w:rsid w:val="00370579"/>
    <w:rsid w:val="00370CDD"/>
    <w:rsid w:val="0037163C"/>
    <w:rsid w:val="00371A4F"/>
    <w:rsid w:val="003723AA"/>
    <w:rsid w:val="00372D46"/>
    <w:rsid w:val="00372DCA"/>
    <w:rsid w:val="00373064"/>
    <w:rsid w:val="003739D5"/>
    <w:rsid w:val="0037514B"/>
    <w:rsid w:val="0037627C"/>
    <w:rsid w:val="00376877"/>
    <w:rsid w:val="00376E20"/>
    <w:rsid w:val="003775A4"/>
    <w:rsid w:val="00380FE9"/>
    <w:rsid w:val="00381CE1"/>
    <w:rsid w:val="00381CE7"/>
    <w:rsid w:val="0038229F"/>
    <w:rsid w:val="00383665"/>
    <w:rsid w:val="003844DD"/>
    <w:rsid w:val="00384BA3"/>
    <w:rsid w:val="00385462"/>
    <w:rsid w:val="0038557A"/>
    <w:rsid w:val="00385898"/>
    <w:rsid w:val="00385972"/>
    <w:rsid w:val="003860DF"/>
    <w:rsid w:val="00386472"/>
    <w:rsid w:val="00387E3F"/>
    <w:rsid w:val="003907E4"/>
    <w:rsid w:val="0039104F"/>
    <w:rsid w:val="00391343"/>
    <w:rsid w:val="00393816"/>
    <w:rsid w:val="00393ABE"/>
    <w:rsid w:val="00393CE3"/>
    <w:rsid w:val="00395A4B"/>
    <w:rsid w:val="00395BA4"/>
    <w:rsid w:val="00395C50"/>
    <w:rsid w:val="00396743"/>
    <w:rsid w:val="00396910"/>
    <w:rsid w:val="00397AF7"/>
    <w:rsid w:val="00397D92"/>
    <w:rsid w:val="003A04B9"/>
    <w:rsid w:val="003A066B"/>
    <w:rsid w:val="003A17E2"/>
    <w:rsid w:val="003A1CF4"/>
    <w:rsid w:val="003A3653"/>
    <w:rsid w:val="003A366A"/>
    <w:rsid w:val="003A3EF8"/>
    <w:rsid w:val="003A47B8"/>
    <w:rsid w:val="003A4E82"/>
    <w:rsid w:val="003A5EFF"/>
    <w:rsid w:val="003A674C"/>
    <w:rsid w:val="003A69E3"/>
    <w:rsid w:val="003A7106"/>
    <w:rsid w:val="003A716C"/>
    <w:rsid w:val="003A7403"/>
    <w:rsid w:val="003A7738"/>
    <w:rsid w:val="003A7A00"/>
    <w:rsid w:val="003B082D"/>
    <w:rsid w:val="003B0FC3"/>
    <w:rsid w:val="003B10D9"/>
    <w:rsid w:val="003B1865"/>
    <w:rsid w:val="003B19DF"/>
    <w:rsid w:val="003B3307"/>
    <w:rsid w:val="003B3448"/>
    <w:rsid w:val="003B37B3"/>
    <w:rsid w:val="003B44DF"/>
    <w:rsid w:val="003B4BFD"/>
    <w:rsid w:val="003B4C52"/>
    <w:rsid w:val="003B5582"/>
    <w:rsid w:val="003B6787"/>
    <w:rsid w:val="003B6F5D"/>
    <w:rsid w:val="003B72FC"/>
    <w:rsid w:val="003B7CDC"/>
    <w:rsid w:val="003C0683"/>
    <w:rsid w:val="003C0869"/>
    <w:rsid w:val="003C0EA5"/>
    <w:rsid w:val="003C169D"/>
    <w:rsid w:val="003C20D2"/>
    <w:rsid w:val="003C2829"/>
    <w:rsid w:val="003C2951"/>
    <w:rsid w:val="003C2E9A"/>
    <w:rsid w:val="003C2F2A"/>
    <w:rsid w:val="003C2F94"/>
    <w:rsid w:val="003C630A"/>
    <w:rsid w:val="003C63DF"/>
    <w:rsid w:val="003C6CB3"/>
    <w:rsid w:val="003C702B"/>
    <w:rsid w:val="003C7782"/>
    <w:rsid w:val="003C7E27"/>
    <w:rsid w:val="003D0060"/>
    <w:rsid w:val="003D0840"/>
    <w:rsid w:val="003D0A0A"/>
    <w:rsid w:val="003D1634"/>
    <w:rsid w:val="003D17DE"/>
    <w:rsid w:val="003D24DA"/>
    <w:rsid w:val="003D2F53"/>
    <w:rsid w:val="003D444C"/>
    <w:rsid w:val="003D46B4"/>
    <w:rsid w:val="003D5013"/>
    <w:rsid w:val="003D5204"/>
    <w:rsid w:val="003D58C2"/>
    <w:rsid w:val="003D658B"/>
    <w:rsid w:val="003D6BFA"/>
    <w:rsid w:val="003D75AB"/>
    <w:rsid w:val="003E13E4"/>
    <w:rsid w:val="003E1C13"/>
    <w:rsid w:val="003E202B"/>
    <w:rsid w:val="003E2356"/>
    <w:rsid w:val="003E2982"/>
    <w:rsid w:val="003E2C40"/>
    <w:rsid w:val="003E31FC"/>
    <w:rsid w:val="003E3582"/>
    <w:rsid w:val="003E367E"/>
    <w:rsid w:val="003E375B"/>
    <w:rsid w:val="003E38C4"/>
    <w:rsid w:val="003E42B4"/>
    <w:rsid w:val="003E4498"/>
    <w:rsid w:val="003E4CE6"/>
    <w:rsid w:val="003E4E0D"/>
    <w:rsid w:val="003E5017"/>
    <w:rsid w:val="003E51F2"/>
    <w:rsid w:val="003E5615"/>
    <w:rsid w:val="003E6B4E"/>
    <w:rsid w:val="003F0611"/>
    <w:rsid w:val="003F0776"/>
    <w:rsid w:val="003F083C"/>
    <w:rsid w:val="003F13D6"/>
    <w:rsid w:val="003F17A5"/>
    <w:rsid w:val="003F1E04"/>
    <w:rsid w:val="003F2AD4"/>
    <w:rsid w:val="003F33E4"/>
    <w:rsid w:val="003F539F"/>
    <w:rsid w:val="003F5625"/>
    <w:rsid w:val="003F5F5E"/>
    <w:rsid w:val="003F6761"/>
    <w:rsid w:val="003F72A6"/>
    <w:rsid w:val="00400032"/>
    <w:rsid w:val="004004D8"/>
    <w:rsid w:val="0040076F"/>
    <w:rsid w:val="00400BAF"/>
    <w:rsid w:val="004014DE"/>
    <w:rsid w:val="0040209C"/>
    <w:rsid w:val="00402407"/>
    <w:rsid w:val="004027C6"/>
    <w:rsid w:val="004028C6"/>
    <w:rsid w:val="004038BB"/>
    <w:rsid w:val="00403923"/>
    <w:rsid w:val="004044A1"/>
    <w:rsid w:val="00404D0F"/>
    <w:rsid w:val="00404DA5"/>
    <w:rsid w:val="004050E6"/>
    <w:rsid w:val="00405546"/>
    <w:rsid w:val="004056A7"/>
    <w:rsid w:val="004056F3"/>
    <w:rsid w:val="00406516"/>
    <w:rsid w:val="00407328"/>
    <w:rsid w:val="0040782E"/>
    <w:rsid w:val="00407A9F"/>
    <w:rsid w:val="00410462"/>
    <w:rsid w:val="00410AA9"/>
    <w:rsid w:val="00411FEE"/>
    <w:rsid w:val="004125B6"/>
    <w:rsid w:val="00412D6A"/>
    <w:rsid w:val="0041375F"/>
    <w:rsid w:val="004155E3"/>
    <w:rsid w:val="00416025"/>
    <w:rsid w:val="00416980"/>
    <w:rsid w:val="00416AF0"/>
    <w:rsid w:val="00416D41"/>
    <w:rsid w:val="00416F03"/>
    <w:rsid w:val="00417273"/>
    <w:rsid w:val="0042034E"/>
    <w:rsid w:val="0042053A"/>
    <w:rsid w:val="0042077D"/>
    <w:rsid w:val="00420E13"/>
    <w:rsid w:val="00420E62"/>
    <w:rsid w:val="004216C4"/>
    <w:rsid w:val="004221E8"/>
    <w:rsid w:val="0042244F"/>
    <w:rsid w:val="00423170"/>
    <w:rsid w:val="00423B92"/>
    <w:rsid w:val="00423C5D"/>
    <w:rsid w:val="00424561"/>
    <w:rsid w:val="00425933"/>
    <w:rsid w:val="00426BE6"/>
    <w:rsid w:val="004276AF"/>
    <w:rsid w:val="00430220"/>
    <w:rsid w:val="0043156E"/>
    <w:rsid w:val="004330F2"/>
    <w:rsid w:val="0043327F"/>
    <w:rsid w:val="00433AFD"/>
    <w:rsid w:val="0043520B"/>
    <w:rsid w:val="00435486"/>
    <w:rsid w:val="0043593A"/>
    <w:rsid w:val="00435B91"/>
    <w:rsid w:val="00436180"/>
    <w:rsid w:val="00436C52"/>
    <w:rsid w:val="0043709C"/>
    <w:rsid w:val="00437711"/>
    <w:rsid w:val="004377E6"/>
    <w:rsid w:val="00440F95"/>
    <w:rsid w:val="0044115A"/>
    <w:rsid w:val="004411A3"/>
    <w:rsid w:val="004414C9"/>
    <w:rsid w:val="00442098"/>
    <w:rsid w:val="004427AC"/>
    <w:rsid w:val="00442877"/>
    <w:rsid w:val="004429D2"/>
    <w:rsid w:val="004431D1"/>
    <w:rsid w:val="0044330A"/>
    <w:rsid w:val="00443666"/>
    <w:rsid w:val="00443A30"/>
    <w:rsid w:val="00443A8A"/>
    <w:rsid w:val="00444185"/>
    <w:rsid w:val="00444711"/>
    <w:rsid w:val="00444964"/>
    <w:rsid w:val="0044531D"/>
    <w:rsid w:val="0044747E"/>
    <w:rsid w:val="00450173"/>
    <w:rsid w:val="00450602"/>
    <w:rsid w:val="00450C36"/>
    <w:rsid w:val="00450C92"/>
    <w:rsid w:val="0045160B"/>
    <w:rsid w:val="004517B6"/>
    <w:rsid w:val="00451A69"/>
    <w:rsid w:val="00451BBF"/>
    <w:rsid w:val="00452519"/>
    <w:rsid w:val="004533DD"/>
    <w:rsid w:val="00453A78"/>
    <w:rsid w:val="004541A5"/>
    <w:rsid w:val="00454492"/>
    <w:rsid w:val="004544FB"/>
    <w:rsid w:val="00454CB3"/>
    <w:rsid w:val="0045514B"/>
    <w:rsid w:val="00455B68"/>
    <w:rsid w:val="00455BB0"/>
    <w:rsid w:val="00455C0D"/>
    <w:rsid w:val="004569CE"/>
    <w:rsid w:val="00460066"/>
    <w:rsid w:val="0046075A"/>
    <w:rsid w:val="004607F5"/>
    <w:rsid w:val="00460C21"/>
    <w:rsid w:val="0046169B"/>
    <w:rsid w:val="00461BCA"/>
    <w:rsid w:val="00461CB1"/>
    <w:rsid w:val="0046214A"/>
    <w:rsid w:val="00462A68"/>
    <w:rsid w:val="004634F0"/>
    <w:rsid w:val="0046396F"/>
    <w:rsid w:val="00463AFF"/>
    <w:rsid w:val="00464582"/>
    <w:rsid w:val="004645A4"/>
    <w:rsid w:val="004645EC"/>
    <w:rsid w:val="00464B58"/>
    <w:rsid w:val="0046565C"/>
    <w:rsid w:val="004665E3"/>
    <w:rsid w:val="004669FC"/>
    <w:rsid w:val="00466DA8"/>
    <w:rsid w:val="00467013"/>
    <w:rsid w:val="00470303"/>
    <w:rsid w:val="004710DD"/>
    <w:rsid w:val="00471663"/>
    <w:rsid w:val="004719BE"/>
    <w:rsid w:val="0047321C"/>
    <w:rsid w:val="004741F4"/>
    <w:rsid w:val="0047429F"/>
    <w:rsid w:val="00474913"/>
    <w:rsid w:val="00476FAB"/>
    <w:rsid w:val="0047743B"/>
    <w:rsid w:val="0048099A"/>
    <w:rsid w:val="0048192B"/>
    <w:rsid w:val="00482559"/>
    <w:rsid w:val="00482957"/>
    <w:rsid w:val="00482ED5"/>
    <w:rsid w:val="004832E6"/>
    <w:rsid w:val="00483C62"/>
    <w:rsid w:val="00484115"/>
    <w:rsid w:val="00485127"/>
    <w:rsid w:val="0048516B"/>
    <w:rsid w:val="00485170"/>
    <w:rsid w:val="0048640D"/>
    <w:rsid w:val="004865CB"/>
    <w:rsid w:val="00487AD3"/>
    <w:rsid w:val="00487CD8"/>
    <w:rsid w:val="00490810"/>
    <w:rsid w:val="00490975"/>
    <w:rsid w:val="00491280"/>
    <w:rsid w:val="00491294"/>
    <w:rsid w:val="0049134F"/>
    <w:rsid w:val="00491BD3"/>
    <w:rsid w:val="00491F69"/>
    <w:rsid w:val="004927C6"/>
    <w:rsid w:val="00492DE1"/>
    <w:rsid w:val="00492F67"/>
    <w:rsid w:val="004932FA"/>
    <w:rsid w:val="004934F6"/>
    <w:rsid w:val="00493724"/>
    <w:rsid w:val="004939B0"/>
    <w:rsid w:val="00493DEB"/>
    <w:rsid w:val="00494781"/>
    <w:rsid w:val="00494E47"/>
    <w:rsid w:val="004952E0"/>
    <w:rsid w:val="00495D43"/>
    <w:rsid w:val="00496E91"/>
    <w:rsid w:val="00497893"/>
    <w:rsid w:val="004A0E78"/>
    <w:rsid w:val="004A14C9"/>
    <w:rsid w:val="004A150D"/>
    <w:rsid w:val="004A1EDC"/>
    <w:rsid w:val="004A2655"/>
    <w:rsid w:val="004A31EE"/>
    <w:rsid w:val="004A3406"/>
    <w:rsid w:val="004A3B91"/>
    <w:rsid w:val="004A3C73"/>
    <w:rsid w:val="004A461F"/>
    <w:rsid w:val="004A46D2"/>
    <w:rsid w:val="004A47FA"/>
    <w:rsid w:val="004A51AE"/>
    <w:rsid w:val="004A57E7"/>
    <w:rsid w:val="004A5D3F"/>
    <w:rsid w:val="004A60BD"/>
    <w:rsid w:val="004A6599"/>
    <w:rsid w:val="004A6CBF"/>
    <w:rsid w:val="004A79C1"/>
    <w:rsid w:val="004A7CBF"/>
    <w:rsid w:val="004B0D09"/>
    <w:rsid w:val="004B16E5"/>
    <w:rsid w:val="004B1ACF"/>
    <w:rsid w:val="004B217A"/>
    <w:rsid w:val="004B28D2"/>
    <w:rsid w:val="004B3FAE"/>
    <w:rsid w:val="004B42B6"/>
    <w:rsid w:val="004B4B6B"/>
    <w:rsid w:val="004B56B5"/>
    <w:rsid w:val="004B58A2"/>
    <w:rsid w:val="004B5B22"/>
    <w:rsid w:val="004B675A"/>
    <w:rsid w:val="004B69CA"/>
    <w:rsid w:val="004B7432"/>
    <w:rsid w:val="004B754E"/>
    <w:rsid w:val="004B770C"/>
    <w:rsid w:val="004B7CAB"/>
    <w:rsid w:val="004C03E5"/>
    <w:rsid w:val="004C0682"/>
    <w:rsid w:val="004C11B9"/>
    <w:rsid w:val="004C133D"/>
    <w:rsid w:val="004C155A"/>
    <w:rsid w:val="004C166E"/>
    <w:rsid w:val="004C1C7B"/>
    <w:rsid w:val="004C2A22"/>
    <w:rsid w:val="004C3B3B"/>
    <w:rsid w:val="004C4FB4"/>
    <w:rsid w:val="004C56A2"/>
    <w:rsid w:val="004C6274"/>
    <w:rsid w:val="004C6533"/>
    <w:rsid w:val="004C6C92"/>
    <w:rsid w:val="004C7143"/>
    <w:rsid w:val="004C77EB"/>
    <w:rsid w:val="004C79EF"/>
    <w:rsid w:val="004D06FD"/>
    <w:rsid w:val="004D0773"/>
    <w:rsid w:val="004D17B3"/>
    <w:rsid w:val="004D2F9E"/>
    <w:rsid w:val="004D313F"/>
    <w:rsid w:val="004D38B3"/>
    <w:rsid w:val="004D3D6A"/>
    <w:rsid w:val="004D535B"/>
    <w:rsid w:val="004D54DF"/>
    <w:rsid w:val="004D5F7B"/>
    <w:rsid w:val="004D61D0"/>
    <w:rsid w:val="004D624A"/>
    <w:rsid w:val="004D6892"/>
    <w:rsid w:val="004D6941"/>
    <w:rsid w:val="004D7C70"/>
    <w:rsid w:val="004E0BA6"/>
    <w:rsid w:val="004E1823"/>
    <w:rsid w:val="004E1C1D"/>
    <w:rsid w:val="004E1D54"/>
    <w:rsid w:val="004E1DA1"/>
    <w:rsid w:val="004E2B52"/>
    <w:rsid w:val="004E2CCA"/>
    <w:rsid w:val="004E2F2B"/>
    <w:rsid w:val="004E3217"/>
    <w:rsid w:val="004E3330"/>
    <w:rsid w:val="004E33B8"/>
    <w:rsid w:val="004E354A"/>
    <w:rsid w:val="004E376E"/>
    <w:rsid w:val="004E3D91"/>
    <w:rsid w:val="004E3F28"/>
    <w:rsid w:val="004E4170"/>
    <w:rsid w:val="004E4230"/>
    <w:rsid w:val="004E5753"/>
    <w:rsid w:val="004E5B5E"/>
    <w:rsid w:val="004E60CD"/>
    <w:rsid w:val="004E628B"/>
    <w:rsid w:val="004E673A"/>
    <w:rsid w:val="004E68C4"/>
    <w:rsid w:val="004E6C1A"/>
    <w:rsid w:val="004E70A8"/>
    <w:rsid w:val="004F03E7"/>
    <w:rsid w:val="004F04EF"/>
    <w:rsid w:val="004F1647"/>
    <w:rsid w:val="004F16DD"/>
    <w:rsid w:val="004F16DE"/>
    <w:rsid w:val="004F1B59"/>
    <w:rsid w:val="004F23C8"/>
    <w:rsid w:val="004F2563"/>
    <w:rsid w:val="004F30EF"/>
    <w:rsid w:val="004F381D"/>
    <w:rsid w:val="004F3D3E"/>
    <w:rsid w:val="004F3EA1"/>
    <w:rsid w:val="004F4201"/>
    <w:rsid w:val="004F5966"/>
    <w:rsid w:val="004F61D5"/>
    <w:rsid w:val="004F6254"/>
    <w:rsid w:val="004F7264"/>
    <w:rsid w:val="004F72CE"/>
    <w:rsid w:val="004F73B4"/>
    <w:rsid w:val="0050084D"/>
    <w:rsid w:val="00501F70"/>
    <w:rsid w:val="005021F9"/>
    <w:rsid w:val="00502234"/>
    <w:rsid w:val="00502982"/>
    <w:rsid w:val="00502AA4"/>
    <w:rsid w:val="00502D9B"/>
    <w:rsid w:val="00502DEC"/>
    <w:rsid w:val="005049D0"/>
    <w:rsid w:val="00504E2F"/>
    <w:rsid w:val="005054FB"/>
    <w:rsid w:val="005056B2"/>
    <w:rsid w:val="005058F0"/>
    <w:rsid w:val="00505C1E"/>
    <w:rsid w:val="00505D52"/>
    <w:rsid w:val="0050652E"/>
    <w:rsid w:val="005067BE"/>
    <w:rsid w:val="00506AEA"/>
    <w:rsid w:val="00506FEF"/>
    <w:rsid w:val="005102BE"/>
    <w:rsid w:val="00510491"/>
    <w:rsid w:val="005105BA"/>
    <w:rsid w:val="00510A41"/>
    <w:rsid w:val="005111A8"/>
    <w:rsid w:val="005112AA"/>
    <w:rsid w:val="0051140F"/>
    <w:rsid w:val="00512178"/>
    <w:rsid w:val="00512487"/>
    <w:rsid w:val="005147ED"/>
    <w:rsid w:val="00514840"/>
    <w:rsid w:val="00514865"/>
    <w:rsid w:val="00514B07"/>
    <w:rsid w:val="00515228"/>
    <w:rsid w:val="005157BA"/>
    <w:rsid w:val="005168CF"/>
    <w:rsid w:val="0051696C"/>
    <w:rsid w:val="00517133"/>
    <w:rsid w:val="005173AA"/>
    <w:rsid w:val="005173F9"/>
    <w:rsid w:val="00520DFB"/>
    <w:rsid w:val="00520E6C"/>
    <w:rsid w:val="005213FE"/>
    <w:rsid w:val="00521C52"/>
    <w:rsid w:val="00521CA2"/>
    <w:rsid w:val="0052214F"/>
    <w:rsid w:val="005230FA"/>
    <w:rsid w:val="00523E66"/>
    <w:rsid w:val="00524725"/>
    <w:rsid w:val="00525021"/>
    <w:rsid w:val="00526499"/>
    <w:rsid w:val="005267AE"/>
    <w:rsid w:val="00526805"/>
    <w:rsid w:val="0052775F"/>
    <w:rsid w:val="00530A04"/>
    <w:rsid w:val="00532295"/>
    <w:rsid w:val="005323FF"/>
    <w:rsid w:val="00532CE2"/>
    <w:rsid w:val="00532D25"/>
    <w:rsid w:val="00532F6E"/>
    <w:rsid w:val="0053313F"/>
    <w:rsid w:val="00535222"/>
    <w:rsid w:val="00536696"/>
    <w:rsid w:val="0053686A"/>
    <w:rsid w:val="00536EF0"/>
    <w:rsid w:val="005401A4"/>
    <w:rsid w:val="00540840"/>
    <w:rsid w:val="00540CB9"/>
    <w:rsid w:val="00541A65"/>
    <w:rsid w:val="00541E9E"/>
    <w:rsid w:val="005423B0"/>
    <w:rsid w:val="00542631"/>
    <w:rsid w:val="00542E7D"/>
    <w:rsid w:val="00543004"/>
    <w:rsid w:val="005438CA"/>
    <w:rsid w:val="00543992"/>
    <w:rsid w:val="00543C10"/>
    <w:rsid w:val="005446B9"/>
    <w:rsid w:val="00545013"/>
    <w:rsid w:val="00545064"/>
    <w:rsid w:val="00545848"/>
    <w:rsid w:val="00545A17"/>
    <w:rsid w:val="00546341"/>
    <w:rsid w:val="00546787"/>
    <w:rsid w:val="005469E8"/>
    <w:rsid w:val="00546E9C"/>
    <w:rsid w:val="00547A60"/>
    <w:rsid w:val="00547C49"/>
    <w:rsid w:val="00550469"/>
    <w:rsid w:val="00550ACA"/>
    <w:rsid w:val="005515B5"/>
    <w:rsid w:val="00551A4E"/>
    <w:rsid w:val="00552717"/>
    <w:rsid w:val="00553408"/>
    <w:rsid w:val="00553FCE"/>
    <w:rsid w:val="00554197"/>
    <w:rsid w:val="00554E94"/>
    <w:rsid w:val="00555B3D"/>
    <w:rsid w:val="005560F4"/>
    <w:rsid w:val="005563F5"/>
    <w:rsid w:val="00556824"/>
    <w:rsid w:val="005576CB"/>
    <w:rsid w:val="00557D26"/>
    <w:rsid w:val="005602F5"/>
    <w:rsid w:val="0056036B"/>
    <w:rsid w:val="00560C5A"/>
    <w:rsid w:val="0056183B"/>
    <w:rsid w:val="00561B62"/>
    <w:rsid w:val="0056287D"/>
    <w:rsid w:val="00562B71"/>
    <w:rsid w:val="00563072"/>
    <w:rsid w:val="005633BD"/>
    <w:rsid w:val="00563616"/>
    <w:rsid w:val="00564031"/>
    <w:rsid w:val="005641A5"/>
    <w:rsid w:val="005653A8"/>
    <w:rsid w:val="00566585"/>
    <w:rsid w:val="00566B1A"/>
    <w:rsid w:val="00570E7F"/>
    <w:rsid w:val="0057140B"/>
    <w:rsid w:val="00571B3B"/>
    <w:rsid w:val="005725DE"/>
    <w:rsid w:val="0057312F"/>
    <w:rsid w:val="005742A9"/>
    <w:rsid w:val="00575825"/>
    <w:rsid w:val="00575A9F"/>
    <w:rsid w:val="00575C91"/>
    <w:rsid w:val="00576303"/>
    <w:rsid w:val="00576CA8"/>
    <w:rsid w:val="00576D10"/>
    <w:rsid w:val="0057741D"/>
    <w:rsid w:val="00577C74"/>
    <w:rsid w:val="00582556"/>
    <w:rsid w:val="005826E1"/>
    <w:rsid w:val="00583FFC"/>
    <w:rsid w:val="00584210"/>
    <w:rsid w:val="005842DC"/>
    <w:rsid w:val="0058586D"/>
    <w:rsid w:val="00585F1E"/>
    <w:rsid w:val="00586427"/>
    <w:rsid w:val="005864F9"/>
    <w:rsid w:val="00586C0B"/>
    <w:rsid w:val="00586E5C"/>
    <w:rsid w:val="005877F9"/>
    <w:rsid w:val="00587D46"/>
    <w:rsid w:val="00590864"/>
    <w:rsid w:val="005909BC"/>
    <w:rsid w:val="00591A4C"/>
    <w:rsid w:val="0059506C"/>
    <w:rsid w:val="0059527A"/>
    <w:rsid w:val="0059550E"/>
    <w:rsid w:val="005958AC"/>
    <w:rsid w:val="00596079"/>
    <w:rsid w:val="00596385"/>
    <w:rsid w:val="00596B7C"/>
    <w:rsid w:val="00597452"/>
    <w:rsid w:val="005A0081"/>
    <w:rsid w:val="005A0B39"/>
    <w:rsid w:val="005A15D8"/>
    <w:rsid w:val="005A1635"/>
    <w:rsid w:val="005A1B61"/>
    <w:rsid w:val="005A2663"/>
    <w:rsid w:val="005A2ABF"/>
    <w:rsid w:val="005A2D54"/>
    <w:rsid w:val="005A30E0"/>
    <w:rsid w:val="005A359F"/>
    <w:rsid w:val="005A40D4"/>
    <w:rsid w:val="005A446A"/>
    <w:rsid w:val="005A4554"/>
    <w:rsid w:val="005A48DA"/>
    <w:rsid w:val="005A518B"/>
    <w:rsid w:val="005A56AE"/>
    <w:rsid w:val="005A617B"/>
    <w:rsid w:val="005A68BC"/>
    <w:rsid w:val="005A6B6E"/>
    <w:rsid w:val="005A7AE5"/>
    <w:rsid w:val="005B0C2F"/>
    <w:rsid w:val="005B12A8"/>
    <w:rsid w:val="005B152B"/>
    <w:rsid w:val="005B1AB3"/>
    <w:rsid w:val="005B3615"/>
    <w:rsid w:val="005B365F"/>
    <w:rsid w:val="005B3898"/>
    <w:rsid w:val="005B43FB"/>
    <w:rsid w:val="005B48D8"/>
    <w:rsid w:val="005B58BE"/>
    <w:rsid w:val="005B6699"/>
    <w:rsid w:val="005B7B65"/>
    <w:rsid w:val="005C0FA4"/>
    <w:rsid w:val="005C15E2"/>
    <w:rsid w:val="005C3403"/>
    <w:rsid w:val="005C3AF6"/>
    <w:rsid w:val="005C51A2"/>
    <w:rsid w:val="005C51CF"/>
    <w:rsid w:val="005C6213"/>
    <w:rsid w:val="005C6A6A"/>
    <w:rsid w:val="005C7112"/>
    <w:rsid w:val="005C76FA"/>
    <w:rsid w:val="005D0B9A"/>
    <w:rsid w:val="005D1849"/>
    <w:rsid w:val="005D18E1"/>
    <w:rsid w:val="005D2451"/>
    <w:rsid w:val="005D24C4"/>
    <w:rsid w:val="005D2544"/>
    <w:rsid w:val="005D353D"/>
    <w:rsid w:val="005D4454"/>
    <w:rsid w:val="005D61D0"/>
    <w:rsid w:val="005D67D9"/>
    <w:rsid w:val="005D6FC3"/>
    <w:rsid w:val="005D7189"/>
    <w:rsid w:val="005D780C"/>
    <w:rsid w:val="005E0126"/>
    <w:rsid w:val="005E0903"/>
    <w:rsid w:val="005E0C21"/>
    <w:rsid w:val="005E0C30"/>
    <w:rsid w:val="005E21F6"/>
    <w:rsid w:val="005E37BA"/>
    <w:rsid w:val="005E42F6"/>
    <w:rsid w:val="005E44C7"/>
    <w:rsid w:val="005E4BB4"/>
    <w:rsid w:val="005E4BCD"/>
    <w:rsid w:val="005E4CA3"/>
    <w:rsid w:val="005E5263"/>
    <w:rsid w:val="005E59CF"/>
    <w:rsid w:val="005E5B57"/>
    <w:rsid w:val="005E5DEC"/>
    <w:rsid w:val="005E699C"/>
    <w:rsid w:val="005E6C45"/>
    <w:rsid w:val="005E6CE3"/>
    <w:rsid w:val="005E6D2B"/>
    <w:rsid w:val="005E750B"/>
    <w:rsid w:val="005E7F0A"/>
    <w:rsid w:val="005F0174"/>
    <w:rsid w:val="005F0636"/>
    <w:rsid w:val="005F0C7F"/>
    <w:rsid w:val="005F1946"/>
    <w:rsid w:val="005F1A35"/>
    <w:rsid w:val="005F2154"/>
    <w:rsid w:val="005F2D1E"/>
    <w:rsid w:val="005F32DF"/>
    <w:rsid w:val="005F3683"/>
    <w:rsid w:val="005F3A04"/>
    <w:rsid w:val="005F3EE7"/>
    <w:rsid w:val="005F4B58"/>
    <w:rsid w:val="005F54C3"/>
    <w:rsid w:val="005F556E"/>
    <w:rsid w:val="005F6189"/>
    <w:rsid w:val="005F715A"/>
    <w:rsid w:val="005F7421"/>
    <w:rsid w:val="005F7FDD"/>
    <w:rsid w:val="006006E1"/>
    <w:rsid w:val="00601178"/>
    <w:rsid w:val="006012D7"/>
    <w:rsid w:val="006014E3"/>
    <w:rsid w:val="00601D0E"/>
    <w:rsid w:val="00602065"/>
    <w:rsid w:val="0060277A"/>
    <w:rsid w:val="00602E6B"/>
    <w:rsid w:val="00602F06"/>
    <w:rsid w:val="006032A6"/>
    <w:rsid w:val="00603B02"/>
    <w:rsid w:val="006054EA"/>
    <w:rsid w:val="006057C7"/>
    <w:rsid w:val="006066A2"/>
    <w:rsid w:val="00606B0D"/>
    <w:rsid w:val="00606C7B"/>
    <w:rsid w:val="00607259"/>
    <w:rsid w:val="0060730D"/>
    <w:rsid w:val="00612414"/>
    <w:rsid w:val="006125D5"/>
    <w:rsid w:val="0061291B"/>
    <w:rsid w:val="00612BF9"/>
    <w:rsid w:val="00612C59"/>
    <w:rsid w:val="00612CAE"/>
    <w:rsid w:val="006139FF"/>
    <w:rsid w:val="00614242"/>
    <w:rsid w:val="00615078"/>
    <w:rsid w:val="00617B43"/>
    <w:rsid w:val="00617C93"/>
    <w:rsid w:val="00617FFD"/>
    <w:rsid w:val="00620AAC"/>
    <w:rsid w:val="00620FEA"/>
    <w:rsid w:val="00621751"/>
    <w:rsid w:val="006217B6"/>
    <w:rsid w:val="00622606"/>
    <w:rsid w:val="00623123"/>
    <w:rsid w:val="00623AE3"/>
    <w:rsid w:val="006247BD"/>
    <w:rsid w:val="006248E1"/>
    <w:rsid w:val="00626ADE"/>
    <w:rsid w:val="00626D22"/>
    <w:rsid w:val="0062724F"/>
    <w:rsid w:val="00627ABA"/>
    <w:rsid w:val="00630F0D"/>
    <w:rsid w:val="00631676"/>
    <w:rsid w:val="006320EF"/>
    <w:rsid w:val="00632523"/>
    <w:rsid w:val="006326D3"/>
    <w:rsid w:val="0063361E"/>
    <w:rsid w:val="00634326"/>
    <w:rsid w:val="006343A0"/>
    <w:rsid w:val="0063520F"/>
    <w:rsid w:val="00635458"/>
    <w:rsid w:val="00636084"/>
    <w:rsid w:val="00636A0F"/>
    <w:rsid w:val="00636AA0"/>
    <w:rsid w:val="00636B01"/>
    <w:rsid w:val="00637255"/>
    <w:rsid w:val="00637388"/>
    <w:rsid w:val="0064019B"/>
    <w:rsid w:val="00641186"/>
    <w:rsid w:val="0064130A"/>
    <w:rsid w:val="00642267"/>
    <w:rsid w:val="00642450"/>
    <w:rsid w:val="0064317F"/>
    <w:rsid w:val="006432B8"/>
    <w:rsid w:val="00643742"/>
    <w:rsid w:val="00643BCF"/>
    <w:rsid w:val="00643ECF"/>
    <w:rsid w:val="00644101"/>
    <w:rsid w:val="0064412D"/>
    <w:rsid w:val="006442CF"/>
    <w:rsid w:val="0064571C"/>
    <w:rsid w:val="0064681F"/>
    <w:rsid w:val="00646881"/>
    <w:rsid w:val="006475A0"/>
    <w:rsid w:val="006475AE"/>
    <w:rsid w:val="00647B51"/>
    <w:rsid w:val="0065010B"/>
    <w:rsid w:val="006501E1"/>
    <w:rsid w:val="0065056B"/>
    <w:rsid w:val="006507BC"/>
    <w:rsid w:val="00650DA6"/>
    <w:rsid w:val="00651267"/>
    <w:rsid w:val="006518DC"/>
    <w:rsid w:val="00652A34"/>
    <w:rsid w:val="00652BFC"/>
    <w:rsid w:val="00652CB6"/>
    <w:rsid w:val="0065302B"/>
    <w:rsid w:val="006535BB"/>
    <w:rsid w:val="00653AED"/>
    <w:rsid w:val="00653D68"/>
    <w:rsid w:val="00653FA1"/>
    <w:rsid w:val="006547F5"/>
    <w:rsid w:val="00654D94"/>
    <w:rsid w:val="00654FAF"/>
    <w:rsid w:val="00655990"/>
    <w:rsid w:val="00656D06"/>
    <w:rsid w:val="0065772B"/>
    <w:rsid w:val="0066036B"/>
    <w:rsid w:val="0066149A"/>
    <w:rsid w:val="00661511"/>
    <w:rsid w:val="00661FCF"/>
    <w:rsid w:val="00662630"/>
    <w:rsid w:val="006632AF"/>
    <w:rsid w:val="00663D87"/>
    <w:rsid w:val="006648D0"/>
    <w:rsid w:val="006654AC"/>
    <w:rsid w:val="00665892"/>
    <w:rsid w:val="00665AE8"/>
    <w:rsid w:val="00665B0D"/>
    <w:rsid w:val="0066644E"/>
    <w:rsid w:val="006669BD"/>
    <w:rsid w:val="006676A1"/>
    <w:rsid w:val="006708B6"/>
    <w:rsid w:val="006712F3"/>
    <w:rsid w:val="00672275"/>
    <w:rsid w:val="00672EEC"/>
    <w:rsid w:val="006748DB"/>
    <w:rsid w:val="00674989"/>
    <w:rsid w:val="00674F78"/>
    <w:rsid w:val="00675A17"/>
    <w:rsid w:val="006769BD"/>
    <w:rsid w:val="00676A74"/>
    <w:rsid w:val="00676E80"/>
    <w:rsid w:val="0067737A"/>
    <w:rsid w:val="00677597"/>
    <w:rsid w:val="006802EB"/>
    <w:rsid w:val="00680707"/>
    <w:rsid w:val="00680750"/>
    <w:rsid w:val="00680F5A"/>
    <w:rsid w:val="006811C8"/>
    <w:rsid w:val="0068134F"/>
    <w:rsid w:val="00682FD5"/>
    <w:rsid w:val="0068315E"/>
    <w:rsid w:val="006838E2"/>
    <w:rsid w:val="00683A18"/>
    <w:rsid w:val="00683DD2"/>
    <w:rsid w:val="00684B48"/>
    <w:rsid w:val="00684E03"/>
    <w:rsid w:val="006857FF"/>
    <w:rsid w:val="006858D9"/>
    <w:rsid w:val="00685998"/>
    <w:rsid w:val="0068644D"/>
    <w:rsid w:val="006864F3"/>
    <w:rsid w:val="006865D5"/>
    <w:rsid w:val="00686B7A"/>
    <w:rsid w:val="006908EF"/>
    <w:rsid w:val="00691140"/>
    <w:rsid w:val="0069130D"/>
    <w:rsid w:val="0069188E"/>
    <w:rsid w:val="00691AAE"/>
    <w:rsid w:val="00691EB2"/>
    <w:rsid w:val="0069215C"/>
    <w:rsid w:val="00692448"/>
    <w:rsid w:val="00692CA8"/>
    <w:rsid w:val="00692EFE"/>
    <w:rsid w:val="00693325"/>
    <w:rsid w:val="006937B1"/>
    <w:rsid w:val="00693FBE"/>
    <w:rsid w:val="006948AB"/>
    <w:rsid w:val="00694CC8"/>
    <w:rsid w:val="00694DD0"/>
    <w:rsid w:val="006957B8"/>
    <w:rsid w:val="006963F9"/>
    <w:rsid w:val="006969F0"/>
    <w:rsid w:val="00696BD2"/>
    <w:rsid w:val="00697392"/>
    <w:rsid w:val="00697531"/>
    <w:rsid w:val="0069756B"/>
    <w:rsid w:val="0069773E"/>
    <w:rsid w:val="00697EC6"/>
    <w:rsid w:val="00697F5D"/>
    <w:rsid w:val="006A0232"/>
    <w:rsid w:val="006A169E"/>
    <w:rsid w:val="006A1703"/>
    <w:rsid w:val="006A242E"/>
    <w:rsid w:val="006A2E88"/>
    <w:rsid w:val="006A3242"/>
    <w:rsid w:val="006A36C4"/>
    <w:rsid w:val="006A37CE"/>
    <w:rsid w:val="006A3BB3"/>
    <w:rsid w:val="006A42B9"/>
    <w:rsid w:val="006A4680"/>
    <w:rsid w:val="006A4BC9"/>
    <w:rsid w:val="006A5057"/>
    <w:rsid w:val="006A5B07"/>
    <w:rsid w:val="006A78E3"/>
    <w:rsid w:val="006B07A1"/>
    <w:rsid w:val="006B0C11"/>
    <w:rsid w:val="006B1234"/>
    <w:rsid w:val="006B1755"/>
    <w:rsid w:val="006B1BFC"/>
    <w:rsid w:val="006B1DDB"/>
    <w:rsid w:val="006B1E6B"/>
    <w:rsid w:val="006B240A"/>
    <w:rsid w:val="006B2646"/>
    <w:rsid w:val="006B27C7"/>
    <w:rsid w:val="006B3BD1"/>
    <w:rsid w:val="006B3D2D"/>
    <w:rsid w:val="006B41CC"/>
    <w:rsid w:val="006B5148"/>
    <w:rsid w:val="006B557E"/>
    <w:rsid w:val="006B57D2"/>
    <w:rsid w:val="006B6450"/>
    <w:rsid w:val="006B70DD"/>
    <w:rsid w:val="006B71B2"/>
    <w:rsid w:val="006B7ADE"/>
    <w:rsid w:val="006B7E0A"/>
    <w:rsid w:val="006C0077"/>
    <w:rsid w:val="006C0434"/>
    <w:rsid w:val="006C05DF"/>
    <w:rsid w:val="006C0A93"/>
    <w:rsid w:val="006C0C38"/>
    <w:rsid w:val="006C0DB8"/>
    <w:rsid w:val="006C176B"/>
    <w:rsid w:val="006C1F6E"/>
    <w:rsid w:val="006C297E"/>
    <w:rsid w:val="006C2FFC"/>
    <w:rsid w:val="006C3850"/>
    <w:rsid w:val="006C388E"/>
    <w:rsid w:val="006C4082"/>
    <w:rsid w:val="006C4388"/>
    <w:rsid w:val="006C4800"/>
    <w:rsid w:val="006C5072"/>
    <w:rsid w:val="006C541C"/>
    <w:rsid w:val="006C58E0"/>
    <w:rsid w:val="006C5BDA"/>
    <w:rsid w:val="006C5CD6"/>
    <w:rsid w:val="006C618D"/>
    <w:rsid w:val="006C65D5"/>
    <w:rsid w:val="006C6A5A"/>
    <w:rsid w:val="006C6E26"/>
    <w:rsid w:val="006C7396"/>
    <w:rsid w:val="006C7B4A"/>
    <w:rsid w:val="006D0340"/>
    <w:rsid w:val="006D0A58"/>
    <w:rsid w:val="006D0FEE"/>
    <w:rsid w:val="006D1310"/>
    <w:rsid w:val="006D2707"/>
    <w:rsid w:val="006D2D89"/>
    <w:rsid w:val="006D2E8A"/>
    <w:rsid w:val="006D2EB3"/>
    <w:rsid w:val="006D2F0A"/>
    <w:rsid w:val="006D3FE2"/>
    <w:rsid w:val="006D53AC"/>
    <w:rsid w:val="006D5C68"/>
    <w:rsid w:val="006D6A32"/>
    <w:rsid w:val="006D78AB"/>
    <w:rsid w:val="006E1DC0"/>
    <w:rsid w:val="006E2D76"/>
    <w:rsid w:val="006E3AAF"/>
    <w:rsid w:val="006E3D0B"/>
    <w:rsid w:val="006E6230"/>
    <w:rsid w:val="006E662B"/>
    <w:rsid w:val="006E67FF"/>
    <w:rsid w:val="006E71D2"/>
    <w:rsid w:val="006E7B45"/>
    <w:rsid w:val="006F0D3B"/>
    <w:rsid w:val="006F10A5"/>
    <w:rsid w:val="006F164E"/>
    <w:rsid w:val="006F1C2E"/>
    <w:rsid w:val="006F2A1F"/>
    <w:rsid w:val="006F3259"/>
    <w:rsid w:val="006F3CC4"/>
    <w:rsid w:val="006F48A8"/>
    <w:rsid w:val="006F5422"/>
    <w:rsid w:val="006F5C3B"/>
    <w:rsid w:val="006F6078"/>
    <w:rsid w:val="006F6A0E"/>
    <w:rsid w:val="006F72FE"/>
    <w:rsid w:val="00700029"/>
    <w:rsid w:val="007005C4"/>
    <w:rsid w:val="00700BE9"/>
    <w:rsid w:val="0070144C"/>
    <w:rsid w:val="007016AD"/>
    <w:rsid w:val="0070328D"/>
    <w:rsid w:val="00704540"/>
    <w:rsid w:val="007046FE"/>
    <w:rsid w:val="00704C35"/>
    <w:rsid w:val="00704DD3"/>
    <w:rsid w:val="00705DBA"/>
    <w:rsid w:val="0070655F"/>
    <w:rsid w:val="007067AF"/>
    <w:rsid w:val="00707079"/>
    <w:rsid w:val="0070716A"/>
    <w:rsid w:val="0070778D"/>
    <w:rsid w:val="007077BB"/>
    <w:rsid w:val="00707C54"/>
    <w:rsid w:val="00711368"/>
    <w:rsid w:val="00711810"/>
    <w:rsid w:val="00711B1E"/>
    <w:rsid w:val="007126AE"/>
    <w:rsid w:val="00712ADA"/>
    <w:rsid w:val="00713032"/>
    <w:rsid w:val="007133CD"/>
    <w:rsid w:val="00713454"/>
    <w:rsid w:val="00713B69"/>
    <w:rsid w:val="007152B2"/>
    <w:rsid w:val="0071559F"/>
    <w:rsid w:val="00715DC0"/>
    <w:rsid w:val="007164D2"/>
    <w:rsid w:val="00716A60"/>
    <w:rsid w:val="00716FA3"/>
    <w:rsid w:val="007175C9"/>
    <w:rsid w:val="00717665"/>
    <w:rsid w:val="00717854"/>
    <w:rsid w:val="00720E61"/>
    <w:rsid w:val="007212D1"/>
    <w:rsid w:val="0072167F"/>
    <w:rsid w:val="00721D14"/>
    <w:rsid w:val="00721FF8"/>
    <w:rsid w:val="00722D12"/>
    <w:rsid w:val="00722D39"/>
    <w:rsid w:val="00723834"/>
    <w:rsid w:val="0072411C"/>
    <w:rsid w:val="00724597"/>
    <w:rsid w:val="00724A3A"/>
    <w:rsid w:val="00724C16"/>
    <w:rsid w:val="00724FEF"/>
    <w:rsid w:val="007253C1"/>
    <w:rsid w:val="00725EA2"/>
    <w:rsid w:val="00726935"/>
    <w:rsid w:val="00726D69"/>
    <w:rsid w:val="00727777"/>
    <w:rsid w:val="007279DC"/>
    <w:rsid w:val="00727A80"/>
    <w:rsid w:val="007305F3"/>
    <w:rsid w:val="00731BE1"/>
    <w:rsid w:val="0073230F"/>
    <w:rsid w:val="00732BC4"/>
    <w:rsid w:val="0073335E"/>
    <w:rsid w:val="00733DF4"/>
    <w:rsid w:val="0073415C"/>
    <w:rsid w:val="007344B5"/>
    <w:rsid w:val="00735FE5"/>
    <w:rsid w:val="007363A5"/>
    <w:rsid w:val="00736451"/>
    <w:rsid w:val="00736755"/>
    <w:rsid w:val="0073677C"/>
    <w:rsid w:val="00736841"/>
    <w:rsid w:val="00736F96"/>
    <w:rsid w:val="00737575"/>
    <w:rsid w:val="00737CEE"/>
    <w:rsid w:val="00740AEC"/>
    <w:rsid w:val="00740B1A"/>
    <w:rsid w:val="00741364"/>
    <w:rsid w:val="00741B24"/>
    <w:rsid w:val="0074208F"/>
    <w:rsid w:val="00742203"/>
    <w:rsid w:val="007425E9"/>
    <w:rsid w:val="00742A1A"/>
    <w:rsid w:val="00742C5D"/>
    <w:rsid w:val="0074330B"/>
    <w:rsid w:val="00743443"/>
    <w:rsid w:val="00744146"/>
    <w:rsid w:val="007442FA"/>
    <w:rsid w:val="00744E90"/>
    <w:rsid w:val="0074526A"/>
    <w:rsid w:val="00745602"/>
    <w:rsid w:val="00745BC6"/>
    <w:rsid w:val="00746F32"/>
    <w:rsid w:val="007471B7"/>
    <w:rsid w:val="00747302"/>
    <w:rsid w:val="00747AB8"/>
    <w:rsid w:val="00747B9D"/>
    <w:rsid w:val="007508F2"/>
    <w:rsid w:val="00750A87"/>
    <w:rsid w:val="00750C85"/>
    <w:rsid w:val="00751AC2"/>
    <w:rsid w:val="00752063"/>
    <w:rsid w:val="00752D57"/>
    <w:rsid w:val="00752E22"/>
    <w:rsid w:val="00753CAA"/>
    <w:rsid w:val="00753D1E"/>
    <w:rsid w:val="00753F11"/>
    <w:rsid w:val="0075409D"/>
    <w:rsid w:val="00756207"/>
    <w:rsid w:val="007568AC"/>
    <w:rsid w:val="00756A51"/>
    <w:rsid w:val="007575B9"/>
    <w:rsid w:val="007577EE"/>
    <w:rsid w:val="00761D4F"/>
    <w:rsid w:val="007623D8"/>
    <w:rsid w:val="00764369"/>
    <w:rsid w:val="0076443B"/>
    <w:rsid w:val="007656AA"/>
    <w:rsid w:val="00765F57"/>
    <w:rsid w:val="00766F7C"/>
    <w:rsid w:val="00767CC1"/>
    <w:rsid w:val="0077007B"/>
    <w:rsid w:val="00770270"/>
    <w:rsid w:val="007714CD"/>
    <w:rsid w:val="0077150A"/>
    <w:rsid w:val="007719B1"/>
    <w:rsid w:val="007719D8"/>
    <w:rsid w:val="00771A20"/>
    <w:rsid w:val="00771A3D"/>
    <w:rsid w:val="00771F3D"/>
    <w:rsid w:val="00772497"/>
    <w:rsid w:val="00772996"/>
    <w:rsid w:val="00772BEC"/>
    <w:rsid w:val="00772E62"/>
    <w:rsid w:val="007733CD"/>
    <w:rsid w:val="00773A33"/>
    <w:rsid w:val="00774459"/>
    <w:rsid w:val="00774B19"/>
    <w:rsid w:val="00774E4B"/>
    <w:rsid w:val="007768D9"/>
    <w:rsid w:val="00776D77"/>
    <w:rsid w:val="007774BC"/>
    <w:rsid w:val="00777855"/>
    <w:rsid w:val="00777857"/>
    <w:rsid w:val="007800B7"/>
    <w:rsid w:val="00780AB7"/>
    <w:rsid w:val="0078139E"/>
    <w:rsid w:val="00782750"/>
    <w:rsid w:val="00782FD1"/>
    <w:rsid w:val="00783093"/>
    <w:rsid w:val="007841FC"/>
    <w:rsid w:val="00784BF1"/>
    <w:rsid w:val="0078555E"/>
    <w:rsid w:val="0078569A"/>
    <w:rsid w:val="007863EC"/>
    <w:rsid w:val="007878DA"/>
    <w:rsid w:val="00790078"/>
    <w:rsid w:val="0079032E"/>
    <w:rsid w:val="00790B9A"/>
    <w:rsid w:val="00790C08"/>
    <w:rsid w:val="00791524"/>
    <w:rsid w:val="00792056"/>
    <w:rsid w:val="00792815"/>
    <w:rsid w:val="00792C72"/>
    <w:rsid w:val="00792F08"/>
    <w:rsid w:val="00793243"/>
    <w:rsid w:val="00793A35"/>
    <w:rsid w:val="00793E1D"/>
    <w:rsid w:val="00793F2D"/>
    <w:rsid w:val="00794A6E"/>
    <w:rsid w:val="007950A9"/>
    <w:rsid w:val="0079572E"/>
    <w:rsid w:val="007962DA"/>
    <w:rsid w:val="007963A9"/>
    <w:rsid w:val="007973C6"/>
    <w:rsid w:val="00797BCD"/>
    <w:rsid w:val="00797BF7"/>
    <w:rsid w:val="007A0DB1"/>
    <w:rsid w:val="007A2442"/>
    <w:rsid w:val="007A252C"/>
    <w:rsid w:val="007A2566"/>
    <w:rsid w:val="007A2FA7"/>
    <w:rsid w:val="007A34BA"/>
    <w:rsid w:val="007A37D9"/>
    <w:rsid w:val="007A40EB"/>
    <w:rsid w:val="007A4252"/>
    <w:rsid w:val="007A4348"/>
    <w:rsid w:val="007A4737"/>
    <w:rsid w:val="007A476A"/>
    <w:rsid w:val="007A47C8"/>
    <w:rsid w:val="007A4A83"/>
    <w:rsid w:val="007A4F53"/>
    <w:rsid w:val="007A6D11"/>
    <w:rsid w:val="007A75CC"/>
    <w:rsid w:val="007A7B29"/>
    <w:rsid w:val="007A7B94"/>
    <w:rsid w:val="007B0124"/>
    <w:rsid w:val="007B022A"/>
    <w:rsid w:val="007B099F"/>
    <w:rsid w:val="007B0DAB"/>
    <w:rsid w:val="007B16DA"/>
    <w:rsid w:val="007B1FA6"/>
    <w:rsid w:val="007B26B8"/>
    <w:rsid w:val="007B2843"/>
    <w:rsid w:val="007B2CED"/>
    <w:rsid w:val="007B3DBC"/>
    <w:rsid w:val="007B3E5B"/>
    <w:rsid w:val="007B4B45"/>
    <w:rsid w:val="007B5C62"/>
    <w:rsid w:val="007C013C"/>
    <w:rsid w:val="007C0C2D"/>
    <w:rsid w:val="007C0E8A"/>
    <w:rsid w:val="007C18C8"/>
    <w:rsid w:val="007C239E"/>
    <w:rsid w:val="007C2414"/>
    <w:rsid w:val="007C2A9E"/>
    <w:rsid w:val="007C3185"/>
    <w:rsid w:val="007C323F"/>
    <w:rsid w:val="007C34FA"/>
    <w:rsid w:val="007C3C29"/>
    <w:rsid w:val="007C3DB5"/>
    <w:rsid w:val="007C481D"/>
    <w:rsid w:val="007C4D13"/>
    <w:rsid w:val="007C53D5"/>
    <w:rsid w:val="007C558A"/>
    <w:rsid w:val="007C7AFF"/>
    <w:rsid w:val="007D13A5"/>
    <w:rsid w:val="007D1402"/>
    <w:rsid w:val="007D160B"/>
    <w:rsid w:val="007D1B50"/>
    <w:rsid w:val="007D22A4"/>
    <w:rsid w:val="007D2362"/>
    <w:rsid w:val="007D23D5"/>
    <w:rsid w:val="007D2881"/>
    <w:rsid w:val="007D2EA0"/>
    <w:rsid w:val="007D2FDD"/>
    <w:rsid w:val="007D39D6"/>
    <w:rsid w:val="007D4A71"/>
    <w:rsid w:val="007D4F9F"/>
    <w:rsid w:val="007D5334"/>
    <w:rsid w:val="007D55B4"/>
    <w:rsid w:val="007D6A72"/>
    <w:rsid w:val="007D6D4A"/>
    <w:rsid w:val="007D6D68"/>
    <w:rsid w:val="007D70F2"/>
    <w:rsid w:val="007D7568"/>
    <w:rsid w:val="007D75ED"/>
    <w:rsid w:val="007D7D24"/>
    <w:rsid w:val="007D7E3D"/>
    <w:rsid w:val="007E01C7"/>
    <w:rsid w:val="007E1EDF"/>
    <w:rsid w:val="007E25A2"/>
    <w:rsid w:val="007E35D8"/>
    <w:rsid w:val="007E3F76"/>
    <w:rsid w:val="007E4ABD"/>
    <w:rsid w:val="007E4ABF"/>
    <w:rsid w:val="007E5E27"/>
    <w:rsid w:val="007E7F80"/>
    <w:rsid w:val="007F0596"/>
    <w:rsid w:val="007F2E16"/>
    <w:rsid w:val="007F2EE0"/>
    <w:rsid w:val="007F3423"/>
    <w:rsid w:val="007F3BFA"/>
    <w:rsid w:val="007F4041"/>
    <w:rsid w:val="007F4DC5"/>
    <w:rsid w:val="007F58EE"/>
    <w:rsid w:val="007F5C7C"/>
    <w:rsid w:val="007F60C8"/>
    <w:rsid w:val="007F6660"/>
    <w:rsid w:val="007F6899"/>
    <w:rsid w:val="007F7DD7"/>
    <w:rsid w:val="007F7F0B"/>
    <w:rsid w:val="00800653"/>
    <w:rsid w:val="00801875"/>
    <w:rsid w:val="008031DC"/>
    <w:rsid w:val="00804F8E"/>
    <w:rsid w:val="0080547F"/>
    <w:rsid w:val="0080598A"/>
    <w:rsid w:val="008075D8"/>
    <w:rsid w:val="0080761C"/>
    <w:rsid w:val="0080790D"/>
    <w:rsid w:val="008105F4"/>
    <w:rsid w:val="008106D6"/>
    <w:rsid w:val="00810990"/>
    <w:rsid w:val="00810E1A"/>
    <w:rsid w:val="00811570"/>
    <w:rsid w:val="00812561"/>
    <w:rsid w:val="008129D7"/>
    <w:rsid w:val="00812EB7"/>
    <w:rsid w:val="00813A86"/>
    <w:rsid w:val="00814B3C"/>
    <w:rsid w:val="0081505D"/>
    <w:rsid w:val="0081529F"/>
    <w:rsid w:val="00815573"/>
    <w:rsid w:val="00815B44"/>
    <w:rsid w:val="008161DC"/>
    <w:rsid w:val="00816587"/>
    <w:rsid w:val="00817B05"/>
    <w:rsid w:val="00817C30"/>
    <w:rsid w:val="00820105"/>
    <w:rsid w:val="00820156"/>
    <w:rsid w:val="0082020F"/>
    <w:rsid w:val="00820C2B"/>
    <w:rsid w:val="00820D24"/>
    <w:rsid w:val="00820E71"/>
    <w:rsid w:val="00822D07"/>
    <w:rsid w:val="008230F1"/>
    <w:rsid w:val="00823EC7"/>
    <w:rsid w:val="00824307"/>
    <w:rsid w:val="008243E7"/>
    <w:rsid w:val="008249BB"/>
    <w:rsid w:val="00825565"/>
    <w:rsid w:val="0082583B"/>
    <w:rsid w:val="00825F80"/>
    <w:rsid w:val="008265E7"/>
    <w:rsid w:val="00830767"/>
    <w:rsid w:val="00830FAD"/>
    <w:rsid w:val="00831215"/>
    <w:rsid w:val="008325C4"/>
    <w:rsid w:val="0083307E"/>
    <w:rsid w:val="0083364F"/>
    <w:rsid w:val="0083415B"/>
    <w:rsid w:val="00834663"/>
    <w:rsid w:val="00834B59"/>
    <w:rsid w:val="00834B97"/>
    <w:rsid w:val="00834D4B"/>
    <w:rsid w:val="0083534C"/>
    <w:rsid w:val="00835418"/>
    <w:rsid w:val="008403EF"/>
    <w:rsid w:val="008406FC"/>
    <w:rsid w:val="00840BA2"/>
    <w:rsid w:val="00841356"/>
    <w:rsid w:val="00841E7A"/>
    <w:rsid w:val="008421E6"/>
    <w:rsid w:val="00842E38"/>
    <w:rsid w:val="00843694"/>
    <w:rsid w:val="00844438"/>
    <w:rsid w:val="00844862"/>
    <w:rsid w:val="00844987"/>
    <w:rsid w:val="00845307"/>
    <w:rsid w:val="0084580D"/>
    <w:rsid w:val="00845AE5"/>
    <w:rsid w:val="00845D77"/>
    <w:rsid w:val="008473F5"/>
    <w:rsid w:val="0085060C"/>
    <w:rsid w:val="00850922"/>
    <w:rsid w:val="008509AB"/>
    <w:rsid w:val="00851506"/>
    <w:rsid w:val="008516A0"/>
    <w:rsid w:val="00851846"/>
    <w:rsid w:val="008524BB"/>
    <w:rsid w:val="008537B7"/>
    <w:rsid w:val="0085415C"/>
    <w:rsid w:val="0085434B"/>
    <w:rsid w:val="00854AB7"/>
    <w:rsid w:val="00855A0C"/>
    <w:rsid w:val="00855B5C"/>
    <w:rsid w:val="00855C6B"/>
    <w:rsid w:val="0085691B"/>
    <w:rsid w:val="008569CC"/>
    <w:rsid w:val="00857221"/>
    <w:rsid w:val="00857ACE"/>
    <w:rsid w:val="00861028"/>
    <w:rsid w:val="0086114C"/>
    <w:rsid w:val="00861652"/>
    <w:rsid w:val="0086190C"/>
    <w:rsid w:val="00861E9E"/>
    <w:rsid w:val="00862741"/>
    <w:rsid w:val="00863438"/>
    <w:rsid w:val="008642C9"/>
    <w:rsid w:val="00864453"/>
    <w:rsid w:val="00864566"/>
    <w:rsid w:val="008647BD"/>
    <w:rsid w:val="00864F00"/>
    <w:rsid w:val="008650F4"/>
    <w:rsid w:val="00865FAC"/>
    <w:rsid w:val="00866EA8"/>
    <w:rsid w:val="008703A9"/>
    <w:rsid w:val="008708DE"/>
    <w:rsid w:val="00870929"/>
    <w:rsid w:val="00871156"/>
    <w:rsid w:val="008711CD"/>
    <w:rsid w:val="008718B6"/>
    <w:rsid w:val="00871C7C"/>
    <w:rsid w:val="00871FE3"/>
    <w:rsid w:val="008721F6"/>
    <w:rsid w:val="00872BDC"/>
    <w:rsid w:val="00873746"/>
    <w:rsid w:val="00874BB5"/>
    <w:rsid w:val="00875125"/>
    <w:rsid w:val="008755D3"/>
    <w:rsid w:val="00875626"/>
    <w:rsid w:val="008812EB"/>
    <w:rsid w:val="0088158F"/>
    <w:rsid w:val="0088190B"/>
    <w:rsid w:val="008821BA"/>
    <w:rsid w:val="008826E9"/>
    <w:rsid w:val="00882AD7"/>
    <w:rsid w:val="0088333E"/>
    <w:rsid w:val="00883351"/>
    <w:rsid w:val="00883AB3"/>
    <w:rsid w:val="0088422C"/>
    <w:rsid w:val="008844EE"/>
    <w:rsid w:val="008847A2"/>
    <w:rsid w:val="00884D3D"/>
    <w:rsid w:val="00885029"/>
    <w:rsid w:val="00885685"/>
    <w:rsid w:val="00886453"/>
    <w:rsid w:val="0088669D"/>
    <w:rsid w:val="0088734B"/>
    <w:rsid w:val="00890198"/>
    <w:rsid w:val="008905F4"/>
    <w:rsid w:val="00890F20"/>
    <w:rsid w:val="00891028"/>
    <w:rsid w:val="008910C4"/>
    <w:rsid w:val="008929F3"/>
    <w:rsid w:val="0089462E"/>
    <w:rsid w:val="00894661"/>
    <w:rsid w:val="008946CE"/>
    <w:rsid w:val="00894884"/>
    <w:rsid w:val="0089493B"/>
    <w:rsid w:val="00894D72"/>
    <w:rsid w:val="00894FD3"/>
    <w:rsid w:val="00895B3A"/>
    <w:rsid w:val="00895D9D"/>
    <w:rsid w:val="0089622B"/>
    <w:rsid w:val="00896295"/>
    <w:rsid w:val="00896E3F"/>
    <w:rsid w:val="008970A4"/>
    <w:rsid w:val="00897202"/>
    <w:rsid w:val="0089723D"/>
    <w:rsid w:val="00897F36"/>
    <w:rsid w:val="008A0110"/>
    <w:rsid w:val="008A027F"/>
    <w:rsid w:val="008A060D"/>
    <w:rsid w:val="008A0F6F"/>
    <w:rsid w:val="008A16AD"/>
    <w:rsid w:val="008A1F0B"/>
    <w:rsid w:val="008A29E6"/>
    <w:rsid w:val="008A2BB7"/>
    <w:rsid w:val="008A4472"/>
    <w:rsid w:val="008A5116"/>
    <w:rsid w:val="008A65A4"/>
    <w:rsid w:val="008A6C05"/>
    <w:rsid w:val="008A6E6F"/>
    <w:rsid w:val="008A7768"/>
    <w:rsid w:val="008A7CBA"/>
    <w:rsid w:val="008B11F4"/>
    <w:rsid w:val="008B175D"/>
    <w:rsid w:val="008B1AD1"/>
    <w:rsid w:val="008B1C50"/>
    <w:rsid w:val="008B2A72"/>
    <w:rsid w:val="008B3970"/>
    <w:rsid w:val="008B3B24"/>
    <w:rsid w:val="008B451F"/>
    <w:rsid w:val="008B46F7"/>
    <w:rsid w:val="008B487E"/>
    <w:rsid w:val="008B48FB"/>
    <w:rsid w:val="008B4B57"/>
    <w:rsid w:val="008B5ECF"/>
    <w:rsid w:val="008B6B9E"/>
    <w:rsid w:val="008B6BA4"/>
    <w:rsid w:val="008B6BFC"/>
    <w:rsid w:val="008B7799"/>
    <w:rsid w:val="008B7D11"/>
    <w:rsid w:val="008C050F"/>
    <w:rsid w:val="008C15FD"/>
    <w:rsid w:val="008C1CE1"/>
    <w:rsid w:val="008C1FFD"/>
    <w:rsid w:val="008C274D"/>
    <w:rsid w:val="008C2D15"/>
    <w:rsid w:val="008C2EE2"/>
    <w:rsid w:val="008C3BB8"/>
    <w:rsid w:val="008C462E"/>
    <w:rsid w:val="008C57D0"/>
    <w:rsid w:val="008C59F9"/>
    <w:rsid w:val="008C6036"/>
    <w:rsid w:val="008C65DC"/>
    <w:rsid w:val="008C723D"/>
    <w:rsid w:val="008C7E11"/>
    <w:rsid w:val="008D03D6"/>
    <w:rsid w:val="008D045F"/>
    <w:rsid w:val="008D049E"/>
    <w:rsid w:val="008D0746"/>
    <w:rsid w:val="008D10E3"/>
    <w:rsid w:val="008D1464"/>
    <w:rsid w:val="008D14C9"/>
    <w:rsid w:val="008D172C"/>
    <w:rsid w:val="008D179E"/>
    <w:rsid w:val="008D1B3E"/>
    <w:rsid w:val="008D23A0"/>
    <w:rsid w:val="008D240A"/>
    <w:rsid w:val="008D2519"/>
    <w:rsid w:val="008D3035"/>
    <w:rsid w:val="008D497C"/>
    <w:rsid w:val="008D5C22"/>
    <w:rsid w:val="008E0E16"/>
    <w:rsid w:val="008E1556"/>
    <w:rsid w:val="008E16FD"/>
    <w:rsid w:val="008E2607"/>
    <w:rsid w:val="008E2716"/>
    <w:rsid w:val="008E2C8A"/>
    <w:rsid w:val="008E420B"/>
    <w:rsid w:val="008E42B5"/>
    <w:rsid w:val="008E4651"/>
    <w:rsid w:val="008E4D69"/>
    <w:rsid w:val="008E58E1"/>
    <w:rsid w:val="008E5A61"/>
    <w:rsid w:val="008E5CB6"/>
    <w:rsid w:val="008E5DCB"/>
    <w:rsid w:val="008E6435"/>
    <w:rsid w:val="008E6C1A"/>
    <w:rsid w:val="008E729A"/>
    <w:rsid w:val="008E7E32"/>
    <w:rsid w:val="008F0168"/>
    <w:rsid w:val="008F2435"/>
    <w:rsid w:val="008F2761"/>
    <w:rsid w:val="008F2CCC"/>
    <w:rsid w:val="008F335F"/>
    <w:rsid w:val="008F33D1"/>
    <w:rsid w:val="008F3870"/>
    <w:rsid w:val="008F4EFF"/>
    <w:rsid w:val="008F50FE"/>
    <w:rsid w:val="008F51E2"/>
    <w:rsid w:val="008F5292"/>
    <w:rsid w:val="008F613F"/>
    <w:rsid w:val="008F7529"/>
    <w:rsid w:val="0090002F"/>
    <w:rsid w:val="0090035A"/>
    <w:rsid w:val="009003E7"/>
    <w:rsid w:val="00900C44"/>
    <w:rsid w:val="009015A8"/>
    <w:rsid w:val="00901F94"/>
    <w:rsid w:val="00902681"/>
    <w:rsid w:val="00902B71"/>
    <w:rsid w:val="00903B1D"/>
    <w:rsid w:val="0090528F"/>
    <w:rsid w:val="0090597C"/>
    <w:rsid w:val="00905B28"/>
    <w:rsid w:val="00906BAC"/>
    <w:rsid w:val="0090773A"/>
    <w:rsid w:val="00907ECF"/>
    <w:rsid w:val="00907FC3"/>
    <w:rsid w:val="0091066B"/>
    <w:rsid w:val="00910685"/>
    <w:rsid w:val="00911227"/>
    <w:rsid w:val="009128B8"/>
    <w:rsid w:val="00913B48"/>
    <w:rsid w:val="00914231"/>
    <w:rsid w:val="00914F04"/>
    <w:rsid w:val="009151B0"/>
    <w:rsid w:val="0091537C"/>
    <w:rsid w:val="00915DF2"/>
    <w:rsid w:val="00916005"/>
    <w:rsid w:val="009171E3"/>
    <w:rsid w:val="0091734B"/>
    <w:rsid w:val="00917AC8"/>
    <w:rsid w:val="00917D09"/>
    <w:rsid w:val="00920FAB"/>
    <w:rsid w:val="00921060"/>
    <w:rsid w:val="00921BC6"/>
    <w:rsid w:val="009223B2"/>
    <w:rsid w:val="009227C1"/>
    <w:rsid w:val="00922E69"/>
    <w:rsid w:val="00923183"/>
    <w:rsid w:val="009234D7"/>
    <w:rsid w:val="009235E6"/>
    <w:rsid w:val="009241B0"/>
    <w:rsid w:val="00924B4A"/>
    <w:rsid w:val="00925087"/>
    <w:rsid w:val="00925343"/>
    <w:rsid w:val="00925718"/>
    <w:rsid w:val="00925CF7"/>
    <w:rsid w:val="009263EB"/>
    <w:rsid w:val="00926859"/>
    <w:rsid w:val="009270A4"/>
    <w:rsid w:val="009304E2"/>
    <w:rsid w:val="009309F6"/>
    <w:rsid w:val="00931D81"/>
    <w:rsid w:val="009322D2"/>
    <w:rsid w:val="009327AD"/>
    <w:rsid w:val="00932A3D"/>
    <w:rsid w:val="00932B77"/>
    <w:rsid w:val="0093301D"/>
    <w:rsid w:val="009337D4"/>
    <w:rsid w:val="00933836"/>
    <w:rsid w:val="00934213"/>
    <w:rsid w:val="00934671"/>
    <w:rsid w:val="00934684"/>
    <w:rsid w:val="00934746"/>
    <w:rsid w:val="009358F4"/>
    <w:rsid w:val="00936E9A"/>
    <w:rsid w:val="00937070"/>
    <w:rsid w:val="009374F5"/>
    <w:rsid w:val="0093772F"/>
    <w:rsid w:val="00937823"/>
    <w:rsid w:val="00937EBB"/>
    <w:rsid w:val="0094096A"/>
    <w:rsid w:val="0094097F"/>
    <w:rsid w:val="00941070"/>
    <w:rsid w:val="0094172E"/>
    <w:rsid w:val="009417C6"/>
    <w:rsid w:val="0094344E"/>
    <w:rsid w:val="00943545"/>
    <w:rsid w:val="00943656"/>
    <w:rsid w:val="00943E1D"/>
    <w:rsid w:val="009446AB"/>
    <w:rsid w:val="0094563F"/>
    <w:rsid w:val="00945840"/>
    <w:rsid w:val="00945C00"/>
    <w:rsid w:val="00945C79"/>
    <w:rsid w:val="00946CFF"/>
    <w:rsid w:val="009504C9"/>
    <w:rsid w:val="00950837"/>
    <w:rsid w:val="00952B3B"/>
    <w:rsid w:val="00952C41"/>
    <w:rsid w:val="00952EC2"/>
    <w:rsid w:val="00953A02"/>
    <w:rsid w:val="00954711"/>
    <w:rsid w:val="00954853"/>
    <w:rsid w:val="009549E5"/>
    <w:rsid w:val="0095554E"/>
    <w:rsid w:val="0095582A"/>
    <w:rsid w:val="009560E4"/>
    <w:rsid w:val="00956A26"/>
    <w:rsid w:val="00960179"/>
    <w:rsid w:val="0096067D"/>
    <w:rsid w:val="009607C1"/>
    <w:rsid w:val="009608A5"/>
    <w:rsid w:val="00960D4D"/>
    <w:rsid w:val="00961124"/>
    <w:rsid w:val="00961434"/>
    <w:rsid w:val="00961721"/>
    <w:rsid w:val="00961AAB"/>
    <w:rsid w:val="00962109"/>
    <w:rsid w:val="00962407"/>
    <w:rsid w:val="0096400C"/>
    <w:rsid w:val="00964613"/>
    <w:rsid w:val="0096474B"/>
    <w:rsid w:val="00964788"/>
    <w:rsid w:val="00964AE0"/>
    <w:rsid w:val="0096547D"/>
    <w:rsid w:val="0096651D"/>
    <w:rsid w:val="009667A1"/>
    <w:rsid w:val="00966883"/>
    <w:rsid w:val="00966FDF"/>
    <w:rsid w:val="009670B6"/>
    <w:rsid w:val="00967539"/>
    <w:rsid w:val="00967F07"/>
    <w:rsid w:val="009702C2"/>
    <w:rsid w:val="00970943"/>
    <w:rsid w:val="00970EE2"/>
    <w:rsid w:val="00971848"/>
    <w:rsid w:val="00971EC3"/>
    <w:rsid w:val="009730AF"/>
    <w:rsid w:val="0097562E"/>
    <w:rsid w:val="00975B10"/>
    <w:rsid w:val="00976593"/>
    <w:rsid w:val="00976B68"/>
    <w:rsid w:val="00976E11"/>
    <w:rsid w:val="009772CD"/>
    <w:rsid w:val="00977A3B"/>
    <w:rsid w:val="00980741"/>
    <w:rsid w:val="00980F47"/>
    <w:rsid w:val="009812E5"/>
    <w:rsid w:val="00981410"/>
    <w:rsid w:val="00981807"/>
    <w:rsid w:val="00981F4C"/>
    <w:rsid w:val="0098280E"/>
    <w:rsid w:val="00982D2B"/>
    <w:rsid w:val="009834C9"/>
    <w:rsid w:val="00983874"/>
    <w:rsid w:val="009844F1"/>
    <w:rsid w:val="00984C6C"/>
    <w:rsid w:val="00984CE5"/>
    <w:rsid w:val="00984F2B"/>
    <w:rsid w:val="009870D3"/>
    <w:rsid w:val="00987B08"/>
    <w:rsid w:val="00987CAC"/>
    <w:rsid w:val="00987DAA"/>
    <w:rsid w:val="00987E2B"/>
    <w:rsid w:val="00990401"/>
    <w:rsid w:val="00990D50"/>
    <w:rsid w:val="0099112B"/>
    <w:rsid w:val="00991287"/>
    <w:rsid w:val="009914E6"/>
    <w:rsid w:val="0099162C"/>
    <w:rsid w:val="0099169C"/>
    <w:rsid w:val="009919EB"/>
    <w:rsid w:val="00992618"/>
    <w:rsid w:val="0099362F"/>
    <w:rsid w:val="00993B97"/>
    <w:rsid w:val="00994002"/>
    <w:rsid w:val="009945E9"/>
    <w:rsid w:val="00994D19"/>
    <w:rsid w:val="00994FE9"/>
    <w:rsid w:val="0099571D"/>
    <w:rsid w:val="00996087"/>
    <w:rsid w:val="00996A5C"/>
    <w:rsid w:val="00997693"/>
    <w:rsid w:val="009977AB"/>
    <w:rsid w:val="00997F12"/>
    <w:rsid w:val="009A023A"/>
    <w:rsid w:val="009A0B47"/>
    <w:rsid w:val="009A0C11"/>
    <w:rsid w:val="009A1CCE"/>
    <w:rsid w:val="009A2CB0"/>
    <w:rsid w:val="009A2CEB"/>
    <w:rsid w:val="009A3C14"/>
    <w:rsid w:val="009A4C31"/>
    <w:rsid w:val="009A5312"/>
    <w:rsid w:val="009A72B8"/>
    <w:rsid w:val="009A79B8"/>
    <w:rsid w:val="009A7EF4"/>
    <w:rsid w:val="009B10FB"/>
    <w:rsid w:val="009B118D"/>
    <w:rsid w:val="009B12FA"/>
    <w:rsid w:val="009B24E3"/>
    <w:rsid w:val="009B2602"/>
    <w:rsid w:val="009B2A78"/>
    <w:rsid w:val="009B42BF"/>
    <w:rsid w:val="009B42F2"/>
    <w:rsid w:val="009B4359"/>
    <w:rsid w:val="009B443C"/>
    <w:rsid w:val="009B5219"/>
    <w:rsid w:val="009B76DE"/>
    <w:rsid w:val="009B77B2"/>
    <w:rsid w:val="009C008C"/>
    <w:rsid w:val="009C112C"/>
    <w:rsid w:val="009C167B"/>
    <w:rsid w:val="009C2395"/>
    <w:rsid w:val="009C2493"/>
    <w:rsid w:val="009C29B6"/>
    <w:rsid w:val="009C2C7E"/>
    <w:rsid w:val="009C2DBC"/>
    <w:rsid w:val="009C3436"/>
    <w:rsid w:val="009C4E03"/>
    <w:rsid w:val="009C71E4"/>
    <w:rsid w:val="009C731C"/>
    <w:rsid w:val="009D003C"/>
    <w:rsid w:val="009D07C7"/>
    <w:rsid w:val="009D0EB6"/>
    <w:rsid w:val="009D14B1"/>
    <w:rsid w:val="009D2525"/>
    <w:rsid w:val="009D2C7C"/>
    <w:rsid w:val="009D2D5E"/>
    <w:rsid w:val="009D3C10"/>
    <w:rsid w:val="009D3D20"/>
    <w:rsid w:val="009D4273"/>
    <w:rsid w:val="009D4D41"/>
    <w:rsid w:val="009D558E"/>
    <w:rsid w:val="009D6B47"/>
    <w:rsid w:val="009D7009"/>
    <w:rsid w:val="009D79B3"/>
    <w:rsid w:val="009D7F0A"/>
    <w:rsid w:val="009E07E9"/>
    <w:rsid w:val="009E1765"/>
    <w:rsid w:val="009E1CF8"/>
    <w:rsid w:val="009E3F99"/>
    <w:rsid w:val="009E44D7"/>
    <w:rsid w:val="009E4BF1"/>
    <w:rsid w:val="009E61D9"/>
    <w:rsid w:val="009E63B5"/>
    <w:rsid w:val="009E6638"/>
    <w:rsid w:val="009E6655"/>
    <w:rsid w:val="009F0540"/>
    <w:rsid w:val="009F0CE5"/>
    <w:rsid w:val="009F11AB"/>
    <w:rsid w:val="009F1C88"/>
    <w:rsid w:val="009F1ECC"/>
    <w:rsid w:val="009F46A2"/>
    <w:rsid w:val="009F47ED"/>
    <w:rsid w:val="009F49AB"/>
    <w:rsid w:val="009F4A6E"/>
    <w:rsid w:val="009F4FD6"/>
    <w:rsid w:val="009F58E1"/>
    <w:rsid w:val="009F63C6"/>
    <w:rsid w:val="00A02011"/>
    <w:rsid w:val="00A02410"/>
    <w:rsid w:val="00A02772"/>
    <w:rsid w:val="00A02786"/>
    <w:rsid w:val="00A02E62"/>
    <w:rsid w:val="00A03A2C"/>
    <w:rsid w:val="00A03A88"/>
    <w:rsid w:val="00A03D98"/>
    <w:rsid w:val="00A03DDC"/>
    <w:rsid w:val="00A03E90"/>
    <w:rsid w:val="00A04CCB"/>
    <w:rsid w:val="00A04DD7"/>
    <w:rsid w:val="00A0537C"/>
    <w:rsid w:val="00A057B0"/>
    <w:rsid w:val="00A0580D"/>
    <w:rsid w:val="00A062B3"/>
    <w:rsid w:val="00A06BFC"/>
    <w:rsid w:val="00A07659"/>
    <w:rsid w:val="00A10F03"/>
    <w:rsid w:val="00A1128C"/>
    <w:rsid w:val="00A12E8F"/>
    <w:rsid w:val="00A13335"/>
    <w:rsid w:val="00A14C49"/>
    <w:rsid w:val="00A14C62"/>
    <w:rsid w:val="00A14EDA"/>
    <w:rsid w:val="00A15B54"/>
    <w:rsid w:val="00A15B85"/>
    <w:rsid w:val="00A15BFA"/>
    <w:rsid w:val="00A15F1D"/>
    <w:rsid w:val="00A1659C"/>
    <w:rsid w:val="00A167E4"/>
    <w:rsid w:val="00A16990"/>
    <w:rsid w:val="00A1761C"/>
    <w:rsid w:val="00A17860"/>
    <w:rsid w:val="00A217B5"/>
    <w:rsid w:val="00A22D78"/>
    <w:rsid w:val="00A23639"/>
    <w:rsid w:val="00A2374C"/>
    <w:rsid w:val="00A23D54"/>
    <w:rsid w:val="00A24BDE"/>
    <w:rsid w:val="00A24D99"/>
    <w:rsid w:val="00A25462"/>
    <w:rsid w:val="00A257C0"/>
    <w:rsid w:val="00A2602E"/>
    <w:rsid w:val="00A262EE"/>
    <w:rsid w:val="00A26885"/>
    <w:rsid w:val="00A27E85"/>
    <w:rsid w:val="00A31307"/>
    <w:rsid w:val="00A31A63"/>
    <w:rsid w:val="00A32636"/>
    <w:rsid w:val="00A32C0F"/>
    <w:rsid w:val="00A343CE"/>
    <w:rsid w:val="00A344B3"/>
    <w:rsid w:val="00A345B2"/>
    <w:rsid w:val="00A353D5"/>
    <w:rsid w:val="00A375FC"/>
    <w:rsid w:val="00A37998"/>
    <w:rsid w:val="00A37E7B"/>
    <w:rsid w:val="00A404B3"/>
    <w:rsid w:val="00A4070B"/>
    <w:rsid w:val="00A40CE0"/>
    <w:rsid w:val="00A40F2E"/>
    <w:rsid w:val="00A41214"/>
    <w:rsid w:val="00A4339B"/>
    <w:rsid w:val="00A437E1"/>
    <w:rsid w:val="00A45296"/>
    <w:rsid w:val="00A45BE7"/>
    <w:rsid w:val="00A45F04"/>
    <w:rsid w:val="00A45F6C"/>
    <w:rsid w:val="00A4623F"/>
    <w:rsid w:val="00A46B4C"/>
    <w:rsid w:val="00A46D13"/>
    <w:rsid w:val="00A4733F"/>
    <w:rsid w:val="00A474DD"/>
    <w:rsid w:val="00A47A70"/>
    <w:rsid w:val="00A47E8E"/>
    <w:rsid w:val="00A500B0"/>
    <w:rsid w:val="00A501DC"/>
    <w:rsid w:val="00A503D9"/>
    <w:rsid w:val="00A50533"/>
    <w:rsid w:val="00A50EFD"/>
    <w:rsid w:val="00A517A6"/>
    <w:rsid w:val="00A526EB"/>
    <w:rsid w:val="00A529CD"/>
    <w:rsid w:val="00A52A91"/>
    <w:rsid w:val="00A52C5D"/>
    <w:rsid w:val="00A52DA6"/>
    <w:rsid w:val="00A53F43"/>
    <w:rsid w:val="00A54955"/>
    <w:rsid w:val="00A557AE"/>
    <w:rsid w:val="00A557DC"/>
    <w:rsid w:val="00A55C86"/>
    <w:rsid w:val="00A56795"/>
    <w:rsid w:val="00A57B2C"/>
    <w:rsid w:val="00A57E54"/>
    <w:rsid w:val="00A60290"/>
    <w:rsid w:val="00A603BA"/>
    <w:rsid w:val="00A606B7"/>
    <w:rsid w:val="00A60B6F"/>
    <w:rsid w:val="00A611BD"/>
    <w:rsid w:val="00A61436"/>
    <w:rsid w:val="00A6186B"/>
    <w:rsid w:val="00A6210D"/>
    <w:rsid w:val="00A6261F"/>
    <w:rsid w:val="00A62F47"/>
    <w:rsid w:val="00A63A82"/>
    <w:rsid w:val="00A63C85"/>
    <w:rsid w:val="00A64390"/>
    <w:rsid w:val="00A6476A"/>
    <w:rsid w:val="00A665B0"/>
    <w:rsid w:val="00A66650"/>
    <w:rsid w:val="00A66E3B"/>
    <w:rsid w:val="00A66E78"/>
    <w:rsid w:val="00A67039"/>
    <w:rsid w:val="00A70C1A"/>
    <w:rsid w:val="00A710F1"/>
    <w:rsid w:val="00A712D1"/>
    <w:rsid w:val="00A71669"/>
    <w:rsid w:val="00A71DA8"/>
    <w:rsid w:val="00A71F3F"/>
    <w:rsid w:val="00A731DD"/>
    <w:rsid w:val="00A736B6"/>
    <w:rsid w:val="00A738C4"/>
    <w:rsid w:val="00A73908"/>
    <w:rsid w:val="00A73C1B"/>
    <w:rsid w:val="00A74142"/>
    <w:rsid w:val="00A7417F"/>
    <w:rsid w:val="00A74395"/>
    <w:rsid w:val="00A7585F"/>
    <w:rsid w:val="00A75F37"/>
    <w:rsid w:val="00A76E0E"/>
    <w:rsid w:val="00A771AB"/>
    <w:rsid w:val="00A80CF7"/>
    <w:rsid w:val="00A82326"/>
    <w:rsid w:val="00A827B6"/>
    <w:rsid w:val="00A82ED3"/>
    <w:rsid w:val="00A84763"/>
    <w:rsid w:val="00A853DB"/>
    <w:rsid w:val="00A85508"/>
    <w:rsid w:val="00A85A35"/>
    <w:rsid w:val="00A85CA9"/>
    <w:rsid w:val="00A8616B"/>
    <w:rsid w:val="00A86514"/>
    <w:rsid w:val="00A865E1"/>
    <w:rsid w:val="00A90421"/>
    <w:rsid w:val="00A91396"/>
    <w:rsid w:val="00A9277F"/>
    <w:rsid w:val="00A93075"/>
    <w:rsid w:val="00A930DC"/>
    <w:rsid w:val="00A93CCB"/>
    <w:rsid w:val="00A94226"/>
    <w:rsid w:val="00A942CF"/>
    <w:rsid w:val="00A949D9"/>
    <w:rsid w:val="00A94E86"/>
    <w:rsid w:val="00A96A56"/>
    <w:rsid w:val="00A97F04"/>
    <w:rsid w:val="00AA09A9"/>
    <w:rsid w:val="00AA0A33"/>
    <w:rsid w:val="00AA250B"/>
    <w:rsid w:val="00AA28BD"/>
    <w:rsid w:val="00AA2FD5"/>
    <w:rsid w:val="00AA34E4"/>
    <w:rsid w:val="00AA3506"/>
    <w:rsid w:val="00AA375C"/>
    <w:rsid w:val="00AA3EAE"/>
    <w:rsid w:val="00AA43B3"/>
    <w:rsid w:val="00AA4C08"/>
    <w:rsid w:val="00AA5BD5"/>
    <w:rsid w:val="00AA6A63"/>
    <w:rsid w:val="00AA7B33"/>
    <w:rsid w:val="00AA7EC6"/>
    <w:rsid w:val="00AB0694"/>
    <w:rsid w:val="00AB1669"/>
    <w:rsid w:val="00AB17A4"/>
    <w:rsid w:val="00AB1DE0"/>
    <w:rsid w:val="00AB2492"/>
    <w:rsid w:val="00AB2EBB"/>
    <w:rsid w:val="00AB32A0"/>
    <w:rsid w:val="00AB371B"/>
    <w:rsid w:val="00AB3E36"/>
    <w:rsid w:val="00AB5704"/>
    <w:rsid w:val="00AB5969"/>
    <w:rsid w:val="00AB5AC8"/>
    <w:rsid w:val="00AB5DB1"/>
    <w:rsid w:val="00AB6362"/>
    <w:rsid w:val="00AB67B0"/>
    <w:rsid w:val="00AB7E2B"/>
    <w:rsid w:val="00AC0370"/>
    <w:rsid w:val="00AC0795"/>
    <w:rsid w:val="00AC0830"/>
    <w:rsid w:val="00AC0F12"/>
    <w:rsid w:val="00AC1C0E"/>
    <w:rsid w:val="00AC1C10"/>
    <w:rsid w:val="00AC2A34"/>
    <w:rsid w:val="00AC2C6E"/>
    <w:rsid w:val="00AC2E6C"/>
    <w:rsid w:val="00AC3512"/>
    <w:rsid w:val="00AC35C9"/>
    <w:rsid w:val="00AC40C7"/>
    <w:rsid w:val="00AC43BF"/>
    <w:rsid w:val="00AC4AF4"/>
    <w:rsid w:val="00AC4BFD"/>
    <w:rsid w:val="00AC4C71"/>
    <w:rsid w:val="00AC508C"/>
    <w:rsid w:val="00AC6423"/>
    <w:rsid w:val="00AC6D50"/>
    <w:rsid w:val="00AC71C6"/>
    <w:rsid w:val="00AD0101"/>
    <w:rsid w:val="00AD0928"/>
    <w:rsid w:val="00AD0955"/>
    <w:rsid w:val="00AD1120"/>
    <w:rsid w:val="00AD125B"/>
    <w:rsid w:val="00AD1B01"/>
    <w:rsid w:val="00AD1CFA"/>
    <w:rsid w:val="00AD21BA"/>
    <w:rsid w:val="00AD26CD"/>
    <w:rsid w:val="00AD2C46"/>
    <w:rsid w:val="00AD2CB0"/>
    <w:rsid w:val="00AD330D"/>
    <w:rsid w:val="00AD35A4"/>
    <w:rsid w:val="00AD3876"/>
    <w:rsid w:val="00AD3B78"/>
    <w:rsid w:val="00AD5CDB"/>
    <w:rsid w:val="00AD602C"/>
    <w:rsid w:val="00AD6E3B"/>
    <w:rsid w:val="00AD6F2A"/>
    <w:rsid w:val="00AE0172"/>
    <w:rsid w:val="00AE0418"/>
    <w:rsid w:val="00AE0602"/>
    <w:rsid w:val="00AE0754"/>
    <w:rsid w:val="00AE0D67"/>
    <w:rsid w:val="00AE0E51"/>
    <w:rsid w:val="00AE184D"/>
    <w:rsid w:val="00AE1D30"/>
    <w:rsid w:val="00AE1D92"/>
    <w:rsid w:val="00AE3D3D"/>
    <w:rsid w:val="00AE419C"/>
    <w:rsid w:val="00AE437D"/>
    <w:rsid w:val="00AE5652"/>
    <w:rsid w:val="00AE670B"/>
    <w:rsid w:val="00AE72A6"/>
    <w:rsid w:val="00AE763A"/>
    <w:rsid w:val="00AE7867"/>
    <w:rsid w:val="00AF03CA"/>
    <w:rsid w:val="00AF0EA6"/>
    <w:rsid w:val="00AF12CD"/>
    <w:rsid w:val="00AF2344"/>
    <w:rsid w:val="00AF243C"/>
    <w:rsid w:val="00AF2552"/>
    <w:rsid w:val="00AF3759"/>
    <w:rsid w:val="00AF3AEA"/>
    <w:rsid w:val="00AF3C17"/>
    <w:rsid w:val="00AF5555"/>
    <w:rsid w:val="00AF59AF"/>
    <w:rsid w:val="00AF667D"/>
    <w:rsid w:val="00AF7605"/>
    <w:rsid w:val="00AF7EC8"/>
    <w:rsid w:val="00B00E0D"/>
    <w:rsid w:val="00B0241F"/>
    <w:rsid w:val="00B02466"/>
    <w:rsid w:val="00B02E43"/>
    <w:rsid w:val="00B03081"/>
    <w:rsid w:val="00B03771"/>
    <w:rsid w:val="00B04601"/>
    <w:rsid w:val="00B04A13"/>
    <w:rsid w:val="00B055C9"/>
    <w:rsid w:val="00B06865"/>
    <w:rsid w:val="00B06D4B"/>
    <w:rsid w:val="00B078C6"/>
    <w:rsid w:val="00B07CAF"/>
    <w:rsid w:val="00B07DCB"/>
    <w:rsid w:val="00B1182C"/>
    <w:rsid w:val="00B11B34"/>
    <w:rsid w:val="00B12151"/>
    <w:rsid w:val="00B122CE"/>
    <w:rsid w:val="00B12A8C"/>
    <w:rsid w:val="00B1320C"/>
    <w:rsid w:val="00B138B1"/>
    <w:rsid w:val="00B13EB6"/>
    <w:rsid w:val="00B147B4"/>
    <w:rsid w:val="00B15DC2"/>
    <w:rsid w:val="00B16181"/>
    <w:rsid w:val="00B16C05"/>
    <w:rsid w:val="00B172CD"/>
    <w:rsid w:val="00B1745E"/>
    <w:rsid w:val="00B17C6A"/>
    <w:rsid w:val="00B20565"/>
    <w:rsid w:val="00B209D9"/>
    <w:rsid w:val="00B2308F"/>
    <w:rsid w:val="00B23371"/>
    <w:rsid w:val="00B24B5D"/>
    <w:rsid w:val="00B2711E"/>
    <w:rsid w:val="00B27DA0"/>
    <w:rsid w:val="00B27E85"/>
    <w:rsid w:val="00B31686"/>
    <w:rsid w:val="00B31823"/>
    <w:rsid w:val="00B31C4A"/>
    <w:rsid w:val="00B322B4"/>
    <w:rsid w:val="00B32BB2"/>
    <w:rsid w:val="00B32D5E"/>
    <w:rsid w:val="00B33A19"/>
    <w:rsid w:val="00B34488"/>
    <w:rsid w:val="00B3454F"/>
    <w:rsid w:val="00B3456E"/>
    <w:rsid w:val="00B3488B"/>
    <w:rsid w:val="00B35AE0"/>
    <w:rsid w:val="00B36215"/>
    <w:rsid w:val="00B362B6"/>
    <w:rsid w:val="00B366B2"/>
    <w:rsid w:val="00B36D67"/>
    <w:rsid w:val="00B37486"/>
    <w:rsid w:val="00B37514"/>
    <w:rsid w:val="00B37E3E"/>
    <w:rsid w:val="00B40C9E"/>
    <w:rsid w:val="00B41054"/>
    <w:rsid w:val="00B41298"/>
    <w:rsid w:val="00B41DB7"/>
    <w:rsid w:val="00B4240D"/>
    <w:rsid w:val="00B4255F"/>
    <w:rsid w:val="00B43D4A"/>
    <w:rsid w:val="00B44F0A"/>
    <w:rsid w:val="00B451F5"/>
    <w:rsid w:val="00B45328"/>
    <w:rsid w:val="00B4549E"/>
    <w:rsid w:val="00B45507"/>
    <w:rsid w:val="00B46DE4"/>
    <w:rsid w:val="00B46FCD"/>
    <w:rsid w:val="00B47135"/>
    <w:rsid w:val="00B47857"/>
    <w:rsid w:val="00B4792E"/>
    <w:rsid w:val="00B47EE2"/>
    <w:rsid w:val="00B501A4"/>
    <w:rsid w:val="00B504D0"/>
    <w:rsid w:val="00B50ED4"/>
    <w:rsid w:val="00B529E7"/>
    <w:rsid w:val="00B5315E"/>
    <w:rsid w:val="00B53D1B"/>
    <w:rsid w:val="00B53ED3"/>
    <w:rsid w:val="00B549EF"/>
    <w:rsid w:val="00B5596A"/>
    <w:rsid w:val="00B56939"/>
    <w:rsid w:val="00B60142"/>
    <w:rsid w:val="00B614EA"/>
    <w:rsid w:val="00B61C26"/>
    <w:rsid w:val="00B61E2D"/>
    <w:rsid w:val="00B63785"/>
    <w:rsid w:val="00B63DDB"/>
    <w:rsid w:val="00B646B0"/>
    <w:rsid w:val="00B646F9"/>
    <w:rsid w:val="00B65BCE"/>
    <w:rsid w:val="00B6674C"/>
    <w:rsid w:val="00B668DB"/>
    <w:rsid w:val="00B66AF4"/>
    <w:rsid w:val="00B67320"/>
    <w:rsid w:val="00B67816"/>
    <w:rsid w:val="00B67B39"/>
    <w:rsid w:val="00B67E7E"/>
    <w:rsid w:val="00B70A96"/>
    <w:rsid w:val="00B70E70"/>
    <w:rsid w:val="00B70ED5"/>
    <w:rsid w:val="00B711A7"/>
    <w:rsid w:val="00B717A9"/>
    <w:rsid w:val="00B718C0"/>
    <w:rsid w:val="00B71D39"/>
    <w:rsid w:val="00B71FF5"/>
    <w:rsid w:val="00B72403"/>
    <w:rsid w:val="00B724E9"/>
    <w:rsid w:val="00B72528"/>
    <w:rsid w:val="00B72579"/>
    <w:rsid w:val="00B7262F"/>
    <w:rsid w:val="00B72896"/>
    <w:rsid w:val="00B729E7"/>
    <w:rsid w:val="00B73281"/>
    <w:rsid w:val="00B733AA"/>
    <w:rsid w:val="00B73915"/>
    <w:rsid w:val="00B73D10"/>
    <w:rsid w:val="00B74168"/>
    <w:rsid w:val="00B755BB"/>
    <w:rsid w:val="00B756C6"/>
    <w:rsid w:val="00B76811"/>
    <w:rsid w:val="00B768E9"/>
    <w:rsid w:val="00B77630"/>
    <w:rsid w:val="00B80488"/>
    <w:rsid w:val="00B807F9"/>
    <w:rsid w:val="00B8122F"/>
    <w:rsid w:val="00B821EA"/>
    <w:rsid w:val="00B82D35"/>
    <w:rsid w:val="00B83AE1"/>
    <w:rsid w:val="00B844E2"/>
    <w:rsid w:val="00B85938"/>
    <w:rsid w:val="00B86442"/>
    <w:rsid w:val="00B86809"/>
    <w:rsid w:val="00B868F9"/>
    <w:rsid w:val="00B87C1E"/>
    <w:rsid w:val="00B901F4"/>
    <w:rsid w:val="00B902D5"/>
    <w:rsid w:val="00B9149C"/>
    <w:rsid w:val="00B91971"/>
    <w:rsid w:val="00B91E6B"/>
    <w:rsid w:val="00B922CE"/>
    <w:rsid w:val="00B928AD"/>
    <w:rsid w:val="00B92E3C"/>
    <w:rsid w:val="00B93593"/>
    <w:rsid w:val="00B9443E"/>
    <w:rsid w:val="00B94C94"/>
    <w:rsid w:val="00B95D06"/>
    <w:rsid w:val="00B95E15"/>
    <w:rsid w:val="00B96A32"/>
    <w:rsid w:val="00B977A0"/>
    <w:rsid w:val="00BA060A"/>
    <w:rsid w:val="00BA0F5A"/>
    <w:rsid w:val="00BA1788"/>
    <w:rsid w:val="00BA1CB6"/>
    <w:rsid w:val="00BA2CF2"/>
    <w:rsid w:val="00BA2D4B"/>
    <w:rsid w:val="00BA2EEB"/>
    <w:rsid w:val="00BA34B7"/>
    <w:rsid w:val="00BA3C5C"/>
    <w:rsid w:val="00BA43A5"/>
    <w:rsid w:val="00BA5439"/>
    <w:rsid w:val="00BA6992"/>
    <w:rsid w:val="00BA6E5F"/>
    <w:rsid w:val="00BA70F6"/>
    <w:rsid w:val="00BA75F3"/>
    <w:rsid w:val="00BA7C5F"/>
    <w:rsid w:val="00BB00DA"/>
    <w:rsid w:val="00BB0A3C"/>
    <w:rsid w:val="00BB0CC9"/>
    <w:rsid w:val="00BB15A4"/>
    <w:rsid w:val="00BB1776"/>
    <w:rsid w:val="00BB18E1"/>
    <w:rsid w:val="00BB2616"/>
    <w:rsid w:val="00BB2A8D"/>
    <w:rsid w:val="00BB2D1C"/>
    <w:rsid w:val="00BB32AC"/>
    <w:rsid w:val="00BB36BD"/>
    <w:rsid w:val="00BB3A6E"/>
    <w:rsid w:val="00BB3CEC"/>
    <w:rsid w:val="00BB3D78"/>
    <w:rsid w:val="00BB4B5E"/>
    <w:rsid w:val="00BB5428"/>
    <w:rsid w:val="00BB5997"/>
    <w:rsid w:val="00BB5B85"/>
    <w:rsid w:val="00BB7E81"/>
    <w:rsid w:val="00BC09F9"/>
    <w:rsid w:val="00BC11F7"/>
    <w:rsid w:val="00BC14A3"/>
    <w:rsid w:val="00BC1AD5"/>
    <w:rsid w:val="00BC2148"/>
    <w:rsid w:val="00BC2268"/>
    <w:rsid w:val="00BC289A"/>
    <w:rsid w:val="00BC3255"/>
    <w:rsid w:val="00BC329B"/>
    <w:rsid w:val="00BC3ACC"/>
    <w:rsid w:val="00BC3B6C"/>
    <w:rsid w:val="00BC3C3B"/>
    <w:rsid w:val="00BD0B23"/>
    <w:rsid w:val="00BD1DC9"/>
    <w:rsid w:val="00BD27FD"/>
    <w:rsid w:val="00BD2902"/>
    <w:rsid w:val="00BD2C0C"/>
    <w:rsid w:val="00BD3037"/>
    <w:rsid w:val="00BD3B61"/>
    <w:rsid w:val="00BD3CA3"/>
    <w:rsid w:val="00BD4566"/>
    <w:rsid w:val="00BD4625"/>
    <w:rsid w:val="00BD5C54"/>
    <w:rsid w:val="00BD5C6A"/>
    <w:rsid w:val="00BD5D9E"/>
    <w:rsid w:val="00BD700E"/>
    <w:rsid w:val="00BE0D83"/>
    <w:rsid w:val="00BE0E8B"/>
    <w:rsid w:val="00BE10F4"/>
    <w:rsid w:val="00BE1255"/>
    <w:rsid w:val="00BE12BA"/>
    <w:rsid w:val="00BE12D8"/>
    <w:rsid w:val="00BE15CE"/>
    <w:rsid w:val="00BE1AAB"/>
    <w:rsid w:val="00BE23FF"/>
    <w:rsid w:val="00BE259C"/>
    <w:rsid w:val="00BE261C"/>
    <w:rsid w:val="00BE2E6C"/>
    <w:rsid w:val="00BE3A20"/>
    <w:rsid w:val="00BE442F"/>
    <w:rsid w:val="00BE4D69"/>
    <w:rsid w:val="00BE54ED"/>
    <w:rsid w:val="00BE56C8"/>
    <w:rsid w:val="00BE58C3"/>
    <w:rsid w:val="00BE5DB2"/>
    <w:rsid w:val="00BE6CA2"/>
    <w:rsid w:val="00BE6F3C"/>
    <w:rsid w:val="00BE7B21"/>
    <w:rsid w:val="00BF0220"/>
    <w:rsid w:val="00BF0A0E"/>
    <w:rsid w:val="00BF1CE1"/>
    <w:rsid w:val="00BF1F34"/>
    <w:rsid w:val="00BF2181"/>
    <w:rsid w:val="00BF2454"/>
    <w:rsid w:val="00BF29F7"/>
    <w:rsid w:val="00BF2CB7"/>
    <w:rsid w:val="00BF36CC"/>
    <w:rsid w:val="00BF44D3"/>
    <w:rsid w:val="00BF4942"/>
    <w:rsid w:val="00BF4AD5"/>
    <w:rsid w:val="00BF4E2E"/>
    <w:rsid w:val="00BF5630"/>
    <w:rsid w:val="00BF76C1"/>
    <w:rsid w:val="00BF7B04"/>
    <w:rsid w:val="00C0048C"/>
    <w:rsid w:val="00C00FB6"/>
    <w:rsid w:val="00C01695"/>
    <w:rsid w:val="00C02B88"/>
    <w:rsid w:val="00C04025"/>
    <w:rsid w:val="00C04202"/>
    <w:rsid w:val="00C04303"/>
    <w:rsid w:val="00C04EC1"/>
    <w:rsid w:val="00C04F2C"/>
    <w:rsid w:val="00C05388"/>
    <w:rsid w:val="00C05890"/>
    <w:rsid w:val="00C06614"/>
    <w:rsid w:val="00C06DB9"/>
    <w:rsid w:val="00C072A1"/>
    <w:rsid w:val="00C111BA"/>
    <w:rsid w:val="00C127B2"/>
    <w:rsid w:val="00C12B37"/>
    <w:rsid w:val="00C13C45"/>
    <w:rsid w:val="00C14206"/>
    <w:rsid w:val="00C14429"/>
    <w:rsid w:val="00C14436"/>
    <w:rsid w:val="00C14DCD"/>
    <w:rsid w:val="00C15AB4"/>
    <w:rsid w:val="00C15B2E"/>
    <w:rsid w:val="00C16B4B"/>
    <w:rsid w:val="00C176CC"/>
    <w:rsid w:val="00C2036E"/>
    <w:rsid w:val="00C217B1"/>
    <w:rsid w:val="00C21A74"/>
    <w:rsid w:val="00C2282D"/>
    <w:rsid w:val="00C22BC8"/>
    <w:rsid w:val="00C22E7F"/>
    <w:rsid w:val="00C2300C"/>
    <w:rsid w:val="00C230EE"/>
    <w:rsid w:val="00C2422F"/>
    <w:rsid w:val="00C244DF"/>
    <w:rsid w:val="00C251AC"/>
    <w:rsid w:val="00C25240"/>
    <w:rsid w:val="00C252A8"/>
    <w:rsid w:val="00C25C64"/>
    <w:rsid w:val="00C25DCC"/>
    <w:rsid w:val="00C26129"/>
    <w:rsid w:val="00C27774"/>
    <w:rsid w:val="00C27A16"/>
    <w:rsid w:val="00C27BB5"/>
    <w:rsid w:val="00C27D5E"/>
    <w:rsid w:val="00C31378"/>
    <w:rsid w:val="00C31E8E"/>
    <w:rsid w:val="00C31F9C"/>
    <w:rsid w:val="00C32882"/>
    <w:rsid w:val="00C3513D"/>
    <w:rsid w:val="00C35974"/>
    <w:rsid w:val="00C35A04"/>
    <w:rsid w:val="00C36035"/>
    <w:rsid w:val="00C361EA"/>
    <w:rsid w:val="00C36E24"/>
    <w:rsid w:val="00C36FFB"/>
    <w:rsid w:val="00C372EA"/>
    <w:rsid w:val="00C43300"/>
    <w:rsid w:val="00C44160"/>
    <w:rsid w:val="00C444AA"/>
    <w:rsid w:val="00C44EFB"/>
    <w:rsid w:val="00C45FF0"/>
    <w:rsid w:val="00C468BE"/>
    <w:rsid w:val="00C46936"/>
    <w:rsid w:val="00C469EA"/>
    <w:rsid w:val="00C47D1F"/>
    <w:rsid w:val="00C47D35"/>
    <w:rsid w:val="00C51250"/>
    <w:rsid w:val="00C51483"/>
    <w:rsid w:val="00C515F0"/>
    <w:rsid w:val="00C51A19"/>
    <w:rsid w:val="00C51EBD"/>
    <w:rsid w:val="00C52048"/>
    <w:rsid w:val="00C52B31"/>
    <w:rsid w:val="00C535F8"/>
    <w:rsid w:val="00C5420F"/>
    <w:rsid w:val="00C5512E"/>
    <w:rsid w:val="00C56691"/>
    <w:rsid w:val="00C56F05"/>
    <w:rsid w:val="00C57799"/>
    <w:rsid w:val="00C6060C"/>
    <w:rsid w:val="00C612BF"/>
    <w:rsid w:val="00C6188B"/>
    <w:rsid w:val="00C63FBC"/>
    <w:rsid w:val="00C657B8"/>
    <w:rsid w:val="00C66682"/>
    <w:rsid w:val="00C67424"/>
    <w:rsid w:val="00C67949"/>
    <w:rsid w:val="00C701A5"/>
    <w:rsid w:val="00C70410"/>
    <w:rsid w:val="00C71133"/>
    <w:rsid w:val="00C714B3"/>
    <w:rsid w:val="00C71B7B"/>
    <w:rsid w:val="00C71EDA"/>
    <w:rsid w:val="00C7206A"/>
    <w:rsid w:val="00C7234B"/>
    <w:rsid w:val="00C72352"/>
    <w:rsid w:val="00C7281B"/>
    <w:rsid w:val="00C7299F"/>
    <w:rsid w:val="00C7358B"/>
    <w:rsid w:val="00C7382D"/>
    <w:rsid w:val="00C742E7"/>
    <w:rsid w:val="00C747E3"/>
    <w:rsid w:val="00C753CA"/>
    <w:rsid w:val="00C75B1F"/>
    <w:rsid w:val="00C7607B"/>
    <w:rsid w:val="00C7649F"/>
    <w:rsid w:val="00C76514"/>
    <w:rsid w:val="00C7702B"/>
    <w:rsid w:val="00C77541"/>
    <w:rsid w:val="00C8046A"/>
    <w:rsid w:val="00C8048E"/>
    <w:rsid w:val="00C80BD6"/>
    <w:rsid w:val="00C80D77"/>
    <w:rsid w:val="00C81113"/>
    <w:rsid w:val="00C81A3A"/>
    <w:rsid w:val="00C81E87"/>
    <w:rsid w:val="00C821DA"/>
    <w:rsid w:val="00C822C3"/>
    <w:rsid w:val="00C823B8"/>
    <w:rsid w:val="00C83089"/>
    <w:rsid w:val="00C84486"/>
    <w:rsid w:val="00C84DCB"/>
    <w:rsid w:val="00C85A6E"/>
    <w:rsid w:val="00C85C8F"/>
    <w:rsid w:val="00C86871"/>
    <w:rsid w:val="00C86977"/>
    <w:rsid w:val="00C869F8"/>
    <w:rsid w:val="00C87DA8"/>
    <w:rsid w:val="00C9004D"/>
    <w:rsid w:val="00C90717"/>
    <w:rsid w:val="00C907AA"/>
    <w:rsid w:val="00C908EC"/>
    <w:rsid w:val="00C90AD3"/>
    <w:rsid w:val="00C9138A"/>
    <w:rsid w:val="00C91AB2"/>
    <w:rsid w:val="00C93B96"/>
    <w:rsid w:val="00C93DA5"/>
    <w:rsid w:val="00C94391"/>
    <w:rsid w:val="00C9566A"/>
    <w:rsid w:val="00C969CC"/>
    <w:rsid w:val="00C96BE0"/>
    <w:rsid w:val="00C97650"/>
    <w:rsid w:val="00CA038A"/>
    <w:rsid w:val="00CA03CA"/>
    <w:rsid w:val="00CA07E2"/>
    <w:rsid w:val="00CA0A52"/>
    <w:rsid w:val="00CA1F24"/>
    <w:rsid w:val="00CA23D6"/>
    <w:rsid w:val="00CA24FE"/>
    <w:rsid w:val="00CA28AD"/>
    <w:rsid w:val="00CA32C3"/>
    <w:rsid w:val="00CA3B07"/>
    <w:rsid w:val="00CA3F01"/>
    <w:rsid w:val="00CA42D0"/>
    <w:rsid w:val="00CA47D9"/>
    <w:rsid w:val="00CA4D56"/>
    <w:rsid w:val="00CA5439"/>
    <w:rsid w:val="00CA55FF"/>
    <w:rsid w:val="00CA567B"/>
    <w:rsid w:val="00CA56B2"/>
    <w:rsid w:val="00CA56D1"/>
    <w:rsid w:val="00CA5824"/>
    <w:rsid w:val="00CA5FF3"/>
    <w:rsid w:val="00CA6642"/>
    <w:rsid w:val="00CA7169"/>
    <w:rsid w:val="00CA777A"/>
    <w:rsid w:val="00CA78C1"/>
    <w:rsid w:val="00CA7F5D"/>
    <w:rsid w:val="00CB052C"/>
    <w:rsid w:val="00CB0B03"/>
    <w:rsid w:val="00CB0BE4"/>
    <w:rsid w:val="00CB11EC"/>
    <w:rsid w:val="00CB162A"/>
    <w:rsid w:val="00CB1D02"/>
    <w:rsid w:val="00CB2301"/>
    <w:rsid w:val="00CB2992"/>
    <w:rsid w:val="00CB3A0A"/>
    <w:rsid w:val="00CB3ECB"/>
    <w:rsid w:val="00CB436A"/>
    <w:rsid w:val="00CB5373"/>
    <w:rsid w:val="00CB5D7F"/>
    <w:rsid w:val="00CB6767"/>
    <w:rsid w:val="00CC1001"/>
    <w:rsid w:val="00CC101B"/>
    <w:rsid w:val="00CC1E55"/>
    <w:rsid w:val="00CC2155"/>
    <w:rsid w:val="00CC224E"/>
    <w:rsid w:val="00CC3D1F"/>
    <w:rsid w:val="00CC45DD"/>
    <w:rsid w:val="00CC4DDE"/>
    <w:rsid w:val="00CC5033"/>
    <w:rsid w:val="00CC5255"/>
    <w:rsid w:val="00CC53EE"/>
    <w:rsid w:val="00CC541B"/>
    <w:rsid w:val="00CC7180"/>
    <w:rsid w:val="00CC762E"/>
    <w:rsid w:val="00CD0224"/>
    <w:rsid w:val="00CD0A70"/>
    <w:rsid w:val="00CD1696"/>
    <w:rsid w:val="00CD1854"/>
    <w:rsid w:val="00CD2216"/>
    <w:rsid w:val="00CD22CC"/>
    <w:rsid w:val="00CD2CF1"/>
    <w:rsid w:val="00CD3790"/>
    <w:rsid w:val="00CD3B99"/>
    <w:rsid w:val="00CD4A10"/>
    <w:rsid w:val="00CD503F"/>
    <w:rsid w:val="00CD587A"/>
    <w:rsid w:val="00CD5D8C"/>
    <w:rsid w:val="00CD63AD"/>
    <w:rsid w:val="00CD66DA"/>
    <w:rsid w:val="00CD74DA"/>
    <w:rsid w:val="00CD77C2"/>
    <w:rsid w:val="00CD79B2"/>
    <w:rsid w:val="00CD7BC3"/>
    <w:rsid w:val="00CD7F6D"/>
    <w:rsid w:val="00CE0DD5"/>
    <w:rsid w:val="00CE1902"/>
    <w:rsid w:val="00CE3367"/>
    <w:rsid w:val="00CE33BF"/>
    <w:rsid w:val="00CE49D1"/>
    <w:rsid w:val="00CE5025"/>
    <w:rsid w:val="00CE52B3"/>
    <w:rsid w:val="00CE5462"/>
    <w:rsid w:val="00CE5BCD"/>
    <w:rsid w:val="00CE6AB7"/>
    <w:rsid w:val="00CE6FA6"/>
    <w:rsid w:val="00CE710C"/>
    <w:rsid w:val="00CE752E"/>
    <w:rsid w:val="00CF0316"/>
    <w:rsid w:val="00CF1565"/>
    <w:rsid w:val="00CF1A62"/>
    <w:rsid w:val="00CF1E2A"/>
    <w:rsid w:val="00CF230A"/>
    <w:rsid w:val="00CF2763"/>
    <w:rsid w:val="00CF2B45"/>
    <w:rsid w:val="00CF2D86"/>
    <w:rsid w:val="00CF2F59"/>
    <w:rsid w:val="00CF3D16"/>
    <w:rsid w:val="00CF405F"/>
    <w:rsid w:val="00CF419D"/>
    <w:rsid w:val="00CF4380"/>
    <w:rsid w:val="00CF43D5"/>
    <w:rsid w:val="00CF5269"/>
    <w:rsid w:val="00CF5CB8"/>
    <w:rsid w:val="00CF64D4"/>
    <w:rsid w:val="00CF657D"/>
    <w:rsid w:val="00CF6BE0"/>
    <w:rsid w:val="00CF79D4"/>
    <w:rsid w:val="00D00BD2"/>
    <w:rsid w:val="00D01CEF"/>
    <w:rsid w:val="00D0308A"/>
    <w:rsid w:val="00D03658"/>
    <w:rsid w:val="00D03DBD"/>
    <w:rsid w:val="00D04982"/>
    <w:rsid w:val="00D04C1F"/>
    <w:rsid w:val="00D0539C"/>
    <w:rsid w:val="00D06913"/>
    <w:rsid w:val="00D06E4A"/>
    <w:rsid w:val="00D06F9C"/>
    <w:rsid w:val="00D077BF"/>
    <w:rsid w:val="00D07D34"/>
    <w:rsid w:val="00D07DC7"/>
    <w:rsid w:val="00D108DE"/>
    <w:rsid w:val="00D1098B"/>
    <w:rsid w:val="00D1124A"/>
    <w:rsid w:val="00D116F0"/>
    <w:rsid w:val="00D12C24"/>
    <w:rsid w:val="00D130FC"/>
    <w:rsid w:val="00D13D53"/>
    <w:rsid w:val="00D14952"/>
    <w:rsid w:val="00D14A17"/>
    <w:rsid w:val="00D14E4D"/>
    <w:rsid w:val="00D15482"/>
    <w:rsid w:val="00D15C76"/>
    <w:rsid w:val="00D15EA8"/>
    <w:rsid w:val="00D15F36"/>
    <w:rsid w:val="00D16667"/>
    <w:rsid w:val="00D174EE"/>
    <w:rsid w:val="00D17587"/>
    <w:rsid w:val="00D20401"/>
    <w:rsid w:val="00D2097A"/>
    <w:rsid w:val="00D20B13"/>
    <w:rsid w:val="00D214D1"/>
    <w:rsid w:val="00D2165E"/>
    <w:rsid w:val="00D21CFE"/>
    <w:rsid w:val="00D261FA"/>
    <w:rsid w:val="00D2624D"/>
    <w:rsid w:val="00D2656B"/>
    <w:rsid w:val="00D279EE"/>
    <w:rsid w:val="00D27FAF"/>
    <w:rsid w:val="00D3097E"/>
    <w:rsid w:val="00D3338B"/>
    <w:rsid w:val="00D338ED"/>
    <w:rsid w:val="00D3482E"/>
    <w:rsid w:val="00D3569D"/>
    <w:rsid w:val="00D36422"/>
    <w:rsid w:val="00D36A8C"/>
    <w:rsid w:val="00D36BFE"/>
    <w:rsid w:val="00D36CAB"/>
    <w:rsid w:val="00D36E8D"/>
    <w:rsid w:val="00D37699"/>
    <w:rsid w:val="00D37BB5"/>
    <w:rsid w:val="00D411BA"/>
    <w:rsid w:val="00D413EB"/>
    <w:rsid w:val="00D42335"/>
    <w:rsid w:val="00D42F9A"/>
    <w:rsid w:val="00D43062"/>
    <w:rsid w:val="00D43E84"/>
    <w:rsid w:val="00D44099"/>
    <w:rsid w:val="00D4475D"/>
    <w:rsid w:val="00D44894"/>
    <w:rsid w:val="00D45650"/>
    <w:rsid w:val="00D4592A"/>
    <w:rsid w:val="00D45B45"/>
    <w:rsid w:val="00D471E9"/>
    <w:rsid w:val="00D47F34"/>
    <w:rsid w:val="00D50807"/>
    <w:rsid w:val="00D517BA"/>
    <w:rsid w:val="00D51A7B"/>
    <w:rsid w:val="00D5216B"/>
    <w:rsid w:val="00D5286F"/>
    <w:rsid w:val="00D52DD3"/>
    <w:rsid w:val="00D52FAA"/>
    <w:rsid w:val="00D534A7"/>
    <w:rsid w:val="00D538E5"/>
    <w:rsid w:val="00D54BB4"/>
    <w:rsid w:val="00D54D6F"/>
    <w:rsid w:val="00D55B09"/>
    <w:rsid w:val="00D55C0C"/>
    <w:rsid w:val="00D55DE4"/>
    <w:rsid w:val="00D55DFB"/>
    <w:rsid w:val="00D56755"/>
    <w:rsid w:val="00D569C3"/>
    <w:rsid w:val="00D56A29"/>
    <w:rsid w:val="00D5785D"/>
    <w:rsid w:val="00D601A7"/>
    <w:rsid w:val="00D618FA"/>
    <w:rsid w:val="00D62593"/>
    <w:rsid w:val="00D64EFE"/>
    <w:rsid w:val="00D658B5"/>
    <w:rsid w:val="00D65AF5"/>
    <w:rsid w:val="00D6671F"/>
    <w:rsid w:val="00D67864"/>
    <w:rsid w:val="00D67C6C"/>
    <w:rsid w:val="00D7028A"/>
    <w:rsid w:val="00D70449"/>
    <w:rsid w:val="00D70587"/>
    <w:rsid w:val="00D70D0C"/>
    <w:rsid w:val="00D71547"/>
    <w:rsid w:val="00D7162C"/>
    <w:rsid w:val="00D71CAA"/>
    <w:rsid w:val="00D73092"/>
    <w:rsid w:val="00D73982"/>
    <w:rsid w:val="00D7497B"/>
    <w:rsid w:val="00D749EF"/>
    <w:rsid w:val="00D74C7D"/>
    <w:rsid w:val="00D75401"/>
    <w:rsid w:val="00D75C67"/>
    <w:rsid w:val="00D76A15"/>
    <w:rsid w:val="00D76CF6"/>
    <w:rsid w:val="00D77216"/>
    <w:rsid w:val="00D80A47"/>
    <w:rsid w:val="00D80F0F"/>
    <w:rsid w:val="00D823C2"/>
    <w:rsid w:val="00D8250D"/>
    <w:rsid w:val="00D82B9F"/>
    <w:rsid w:val="00D831D4"/>
    <w:rsid w:val="00D8545F"/>
    <w:rsid w:val="00D8568E"/>
    <w:rsid w:val="00D858D9"/>
    <w:rsid w:val="00D859B2"/>
    <w:rsid w:val="00D85CB8"/>
    <w:rsid w:val="00D86A80"/>
    <w:rsid w:val="00D86AD1"/>
    <w:rsid w:val="00D86D1F"/>
    <w:rsid w:val="00D878B9"/>
    <w:rsid w:val="00D87B7D"/>
    <w:rsid w:val="00D912C6"/>
    <w:rsid w:val="00D927D6"/>
    <w:rsid w:val="00D92A14"/>
    <w:rsid w:val="00D92A23"/>
    <w:rsid w:val="00D96608"/>
    <w:rsid w:val="00D96C96"/>
    <w:rsid w:val="00D9756F"/>
    <w:rsid w:val="00D977CB"/>
    <w:rsid w:val="00D97C1F"/>
    <w:rsid w:val="00D97CAD"/>
    <w:rsid w:val="00D97E5F"/>
    <w:rsid w:val="00DA13A1"/>
    <w:rsid w:val="00DA21A0"/>
    <w:rsid w:val="00DA2991"/>
    <w:rsid w:val="00DA3646"/>
    <w:rsid w:val="00DA3AF8"/>
    <w:rsid w:val="00DA4650"/>
    <w:rsid w:val="00DA51C8"/>
    <w:rsid w:val="00DA594D"/>
    <w:rsid w:val="00DA7165"/>
    <w:rsid w:val="00DB05FD"/>
    <w:rsid w:val="00DB3F0B"/>
    <w:rsid w:val="00DB46DB"/>
    <w:rsid w:val="00DB4D39"/>
    <w:rsid w:val="00DB520C"/>
    <w:rsid w:val="00DB54DC"/>
    <w:rsid w:val="00DB5D27"/>
    <w:rsid w:val="00DB6A82"/>
    <w:rsid w:val="00DB74AC"/>
    <w:rsid w:val="00DB7D94"/>
    <w:rsid w:val="00DB7EB1"/>
    <w:rsid w:val="00DC17B4"/>
    <w:rsid w:val="00DC27DE"/>
    <w:rsid w:val="00DC2EBC"/>
    <w:rsid w:val="00DC32B7"/>
    <w:rsid w:val="00DC3744"/>
    <w:rsid w:val="00DC394B"/>
    <w:rsid w:val="00DC4206"/>
    <w:rsid w:val="00DC4207"/>
    <w:rsid w:val="00DC4781"/>
    <w:rsid w:val="00DC4D3C"/>
    <w:rsid w:val="00DC5945"/>
    <w:rsid w:val="00DC5D20"/>
    <w:rsid w:val="00DC668B"/>
    <w:rsid w:val="00DC687D"/>
    <w:rsid w:val="00DC7510"/>
    <w:rsid w:val="00DC771C"/>
    <w:rsid w:val="00DC775A"/>
    <w:rsid w:val="00DD0467"/>
    <w:rsid w:val="00DD15A6"/>
    <w:rsid w:val="00DD1978"/>
    <w:rsid w:val="00DD1BC6"/>
    <w:rsid w:val="00DD22CB"/>
    <w:rsid w:val="00DD2E2B"/>
    <w:rsid w:val="00DD3686"/>
    <w:rsid w:val="00DD4416"/>
    <w:rsid w:val="00DD5495"/>
    <w:rsid w:val="00DD5AB2"/>
    <w:rsid w:val="00DD60B1"/>
    <w:rsid w:val="00DD60BA"/>
    <w:rsid w:val="00DD684D"/>
    <w:rsid w:val="00DD68DE"/>
    <w:rsid w:val="00DD6C5F"/>
    <w:rsid w:val="00DE0564"/>
    <w:rsid w:val="00DE0677"/>
    <w:rsid w:val="00DE0AAC"/>
    <w:rsid w:val="00DE0F8F"/>
    <w:rsid w:val="00DE0FC4"/>
    <w:rsid w:val="00DE2146"/>
    <w:rsid w:val="00DE2353"/>
    <w:rsid w:val="00DE296B"/>
    <w:rsid w:val="00DE2E97"/>
    <w:rsid w:val="00DE2ED8"/>
    <w:rsid w:val="00DE2F02"/>
    <w:rsid w:val="00DE3CED"/>
    <w:rsid w:val="00DE3F9B"/>
    <w:rsid w:val="00DE3FFD"/>
    <w:rsid w:val="00DE42DE"/>
    <w:rsid w:val="00DE4572"/>
    <w:rsid w:val="00DE4F39"/>
    <w:rsid w:val="00DE5E5F"/>
    <w:rsid w:val="00DE623D"/>
    <w:rsid w:val="00DE6601"/>
    <w:rsid w:val="00DE6F46"/>
    <w:rsid w:val="00DE72BA"/>
    <w:rsid w:val="00DE7411"/>
    <w:rsid w:val="00DF1527"/>
    <w:rsid w:val="00DF1ABF"/>
    <w:rsid w:val="00DF2D5C"/>
    <w:rsid w:val="00DF3E71"/>
    <w:rsid w:val="00DF434F"/>
    <w:rsid w:val="00DF5412"/>
    <w:rsid w:val="00DF5562"/>
    <w:rsid w:val="00DF58B4"/>
    <w:rsid w:val="00DF5C0F"/>
    <w:rsid w:val="00DF60FC"/>
    <w:rsid w:val="00DF76CD"/>
    <w:rsid w:val="00DF7C80"/>
    <w:rsid w:val="00E00DFC"/>
    <w:rsid w:val="00E0103E"/>
    <w:rsid w:val="00E0138D"/>
    <w:rsid w:val="00E01FC3"/>
    <w:rsid w:val="00E0245C"/>
    <w:rsid w:val="00E02891"/>
    <w:rsid w:val="00E03F15"/>
    <w:rsid w:val="00E0446B"/>
    <w:rsid w:val="00E044D6"/>
    <w:rsid w:val="00E0576A"/>
    <w:rsid w:val="00E05D44"/>
    <w:rsid w:val="00E05E7E"/>
    <w:rsid w:val="00E06B56"/>
    <w:rsid w:val="00E06D81"/>
    <w:rsid w:val="00E10A83"/>
    <w:rsid w:val="00E11CCF"/>
    <w:rsid w:val="00E13168"/>
    <w:rsid w:val="00E13CFE"/>
    <w:rsid w:val="00E13DB8"/>
    <w:rsid w:val="00E1462F"/>
    <w:rsid w:val="00E14829"/>
    <w:rsid w:val="00E1533F"/>
    <w:rsid w:val="00E153E3"/>
    <w:rsid w:val="00E154E2"/>
    <w:rsid w:val="00E156F5"/>
    <w:rsid w:val="00E15802"/>
    <w:rsid w:val="00E15AD7"/>
    <w:rsid w:val="00E162FB"/>
    <w:rsid w:val="00E17692"/>
    <w:rsid w:val="00E21443"/>
    <w:rsid w:val="00E214FF"/>
    <w:rsid w:val="00E21541"/>
    <w:rsid w:val="00E21DD0"/>
    <w:rsid w:val="00E2217A"/>
    <w:rsid w:val="00E22500"/>
    <w:rsid w:val="00E227B5"/>
    <w:rsid w:val="00E23E06"/>
    <w:rsid w:val="00E240E7"/>
    <w:rsid w:val="00E253A9"/>
    <w:rsid w:val="00E25F8C"/>
    <w:rsid w:val="00E2636B"/>
    <w:rsid w:val="00E27901"/>
    <w:rsid w:val="00E304FF"/>
    <w:rsid w:val="00E30539"/>
    <w:rsid w:val="00E30A77"/>
    <w:rsid w:val="00E317C3"/>
    <w:rsid w:val="00E31B55"/>
    <w:rsid w:val="00E331E9"/>
    <w:rsid w:val="00E3485A"/>
    <w:rsid w:val="00E34D27"/>
    <w:rsid w:val="00E35355"/>
    <w:rsid w:val="00E3596D"/>
    <w:rsid w:val="00E36257"/>
    <w:rsid w:val="00E36CFE"/>
    <w:rsid w:val="00E375F2"/>
    <w:rsid w:val="00E37646"/>
    <w:rsid w:val="00E37732"/>
    <w:rsid w:val="00E4024D"/>
    <w:rsid w:val="00E41264"/>
    <w:rsid w:val="00E416C4"/>
    <w:rsid w:val="00E423B9"/>
    <w:rsid w:val="00E432C0"/>
    <w:rsid w:val="00E43574"/>
    <w:rsid w:val="00E445CD"/>
    <w:rsid w:val="00E44E8C"/>
    <w:rsid w:val="00E4510E"/>
    <w:rsid w:val="00E46248"/>
    <w:rsid w:val="00E468FE"/>
    <w:rsid w:val="00E46D9C"/>
    <w:rsid w:val="00E46F96"/>
    <w:rsid w:val="00E478D6"/>
    <w:rsid w:val="00E500E8"/>
    <w:rsid w:val="00E51B02"/>
    <w:rsid w:val="00E52142"/>
    <w:rsid w:val="00E53602"/>
    <w:rsid w:val="00E53A9D"/>
    <w:rsid w:val="00E53C37"/>
    <w:rsid w:val="00E53E1E"/>
    <w:rsid w:val="00E54584"/>
    <w:rsid w:val="00E549F8"/>
    <w:rsid w:val="00E54DC5"/>
    <w:rsid w:val="00E558DB"/>
    <w:rsid w:val="00E55E48"/>
    <w:rsid w:val="00E573B2"/>
    <w:rsid w:val="00E60077"/>
    <w:rsid w:val="00E6075B"/>
    <w:rsid w:val="00E614CA"/>
    <w:rsid w:val="00E614EA"/>
    <w:rsid w:val="00E62723"/>
    <w:rsid w:val="00E63159"/>
    <w:rsid w:val="00E63E60"/>
    <w:rsid w:val="00E653D0"/>
    <w:rsid w:val="00E67068"/>
    <w:rsid w:val="00E67F10"/>
    <w:rsid w:val="00E708C7"/>
    <w:rsid w:val="00E7117F"/>
    <w:rsid w:val="00E71238"/>
    <w:rsid w:val="00E7140C"/>
    <w:rsid w:val="00E71D2B"/>
    <w:rsid w:val="00E72CF3"/>
    <w:rsid w:val="00E72DCB"/>
    <w:rsid w:val="00E7344B"/>
    <w:rsid w:val="00E73887"/>
    <w:rsid w:val="00E7397B"/>
    <w:rsid w:val="00E73B43"/>
    <w:rsid w:val="00E7457A"/>
    <w:rsid w:val="00E74C6A"/>
    <w:rsid w:val="00E75790"/>
    <w:rsid w:val="00E75F59"/>
    <w:rsid w:val="00E7603B"/>
    <w:rsid w:val="00E8018A"/>
    <w:rsid w:val="00E80984"/>
    <w:rsid w:val="00E80E75"/>
    <w:rsid w:val="00E81251"/>
    <w:rsid w:val="00E82CAC"/>
    <w:rsid w:val="00E82E0E"/>
    <w:rsid w:val="00E82FCC"/>
    <w:rsid w:val="00E83199"/>
    <w:rsid w:val="00E83FEA"/>
    <w:rsid w:val="00E84479"/>
    <w:rsid w:val="00E85DFB"/>
    <w:rsid w:val="00E868AE"/>
    <w:rsid w:val="00E87173"/>
    <w:rsid w:val="00E872B3"/>
    <w:rsid w:val="00E873DB"/>
    <w:rsid w:val="00E8754A"/>
    <w:rsid w:val="00E90AEF"/>
    <w:rsid w:val="00E90B94"/>
    <w:rsid w:val="00E915CD"/>
    <w:rsid w:val="00E91928"/>
    <w:rsid w:val="00E93306"/>
    <w:rsid w:val="00E939B5"/>
    <w:rsid w:val="00E93FF0"/>
    <w:rsid w:val="00E9411A"/>
    <w:rsid w:val="00E94CC6"/>
    <w:rsid w:val="00E96359"/>
    <w:rsid w:val="00EA01AC"/>
    <w:rsid w:val="00EA0C70"/>
    <w:rsid w:val="00EA176A"/>
    <w:rsid w:val="00EA3CBF"/>
    <w:rsid w:val="00EA4881"/>
    <w:rsid w:val="00EA4A47"/>
    <w:rsid w:val="00EA54BE"/>
    <w:rsid w:val="00EA5641"/>
    <w:rsid w:val="00EA6871"/>
    <w:rsid w:val="00EA6BBC"/>
    <w:rsid w:val="00EA6F30"/>
    <w:rsid w:val="00EA6F82"/>
    <w:rsid w:val="00EA7C41"/>
    <w:rsid w:val="00EB04C9"/>
    <w:rsid w:val="00EB0843"/>
    <w:rsid w:val="00EB0A0A"/>
    <w:rsid w:val="00EB1668"/>
    <w:rsid w:val="00EB25EB"/>
    <w:rsid w:val="00EB2877"/>
    <w:rsid w:val="00EB2991"/>
    <w:rsid w:val="00EB2DCA"/>
    <w:rsid w:val="00EB44E2"/>
    <w:rsid w:val="00EB50AE"/>
    <w:rsid w:val="00EB50DD"/>
    <w:rsid w:val="00EB527E"/>
    <w:rsid w:val="00EB5C27"/>
    <w:rsid w:val="00EB6466"/>
    <w:rsid w:val="00EB668F"/>
    <w:rsid w:val="00EB7A33"/>
    <w:rsid w:val="00EC030A"/>
    <w:rsid w:val="00EC1478"/>
    <w:rsid w:val="00EC210A"/>
    <w:rsid w:val="00EC22BC"/>
    <w:rsid w:val="00EC251D"/>
    <w:rsid w:val="00EC36D8"/>
    <w:rsid w:val="00EC5662"/>
    <w:rsid w:val="00EC67D6"/>
    <w:rsid w:val="00EC6E86"/>
    <w:rsid w:val="00EC6E91"/>
    <w:rsid w:val="00EC7CE0"/>
    <w:rsid w:val="00ED04FB"/>
    <w:rsid w:val="00ED1977"/>
    <w:rsid w:val="00ED20AA"/>
    <w:rsid w:val="00ED24C4"/>
    <w:rsid w:val="00ED2918"/>
    <w:rsid w:val="00ED30FA"/>
    <w:rsid w:val="00ED4218"/>
    <w:rsid w:val="00ED4929"/>
    <w:rsid w:val="00ED4E5D"/>
    <w:rsid w:val="00ED4F98"/>
    <w:rsid w:val="00ED5675"/>
    <w:rsid w:val="00ED5A7F"/>
    <w:rsid w:val="00ED6547"/>
    <w:rsid w:val="00ED6F3A"/>
    <w:rsid w:val="00EE02A2"/>
    <w:rsid w:val="00EE0404"/>
    <w:rsid w:val="00EE0692"/>
    <w:rsid w:val="00EE0F57"/>
    <w:rsid w:val="00EE1558"/>
    <w:rsid w:val="00EE1F9A"/>
    <w:rsid w:val="00EE24D3"/>
    <w:rsid w:val="00EE3002"/>
    <w:rsid w:val="00EE3ADA"/>
    <w:rsid w:val="00EE4192"/>
    <w:rsid w:val="00EE42F5"/>
    <w:rsid w:val="00EE5180"/>
    <w:rsid w:val="00EE639F"/>
    <w:rsid w:val="00EE6735"/>
    <w:rsid w:val="00EE77E3"/>
    <w:rsid w:val="00EF0AF4"/>
    <w:rsid w:val="00EF1AF6"/>
    <w:rsid w:val="00EF3281"/>
    <w:rsid w:val="00EF57CD"/>
    <w:rsid w:val="00EF5906"/>
    <w:rsid w:val="00EF5CE9"/>
    <w:rsid w:val="00EF5F88"/>
    <w:rsid w:val="00EF6778"/>
    <w:rsid w:val="00EF6937"/>
    <w:rsid w:val="00EF6BC9"/>
    <w:rsid w:val="00EF7E52"/>
    <w:rsid w:val="00EF7F6E"/>
    <w:rsid w:val="00F00318"/>
    <w:rsid w:val="00F0053E"/>
    <w:rsid w:val="00F00DD4"/>
    <w:rsid w:val="00F00FDE"/>
    <w:rsid w:val="00F018D3"/>
    <w:rsid w:val="00F01DC2"/>
    <w:rsid w:val="00F034B9"/>
    <w:rsid w:val="00F03FE3"/>
    <w:rsid w:val="00F04278"/>
    <w:rsid w:val="00F04FB8"/>
    <w:rsid w:val="00F0524A"/>
    <w:rsid w:val="00F052A3"/>
    <w:rsid w:val="00F06897"/>
    <w:rsid w:val="00F06D71"/>
    <w:rsid w:val="00F06F93"/>
    <w:rsid w:val="00F07762"/>
    <w:rsid w:val="00F101BC"/>
    <w:rsid w:val="00F10A07"/>
    <w:rsid w:val="00F110D8"/>
    <w:rsid w:val="00F11101"/>
    <w:rsid w:val="00F112F1"/>
    <w:rsid w:val="00F11C9F"/>
    <w:rsid w:val="00F11FC2"/>
    <w:rsid w:val="00F12C78"/>
    <w:rsid w:val="00F1352C"/>
    <w:rsid w:val="00F139DA"/>
    <w:rsid w:val="00F146BB"/>
    <w:rsid w:val="00F147B4"/>
    <w:rsid w:val="00F14BC1"/>
    <w:rsid w:val="00F15576"/>
    <w:rsid w:val="00F1591F"/>
    <w:rsid w:val="00F15AFE"/>
    <w:rsid w:val="00F1694E"/>
    <w:rsid w:val="00F16FE1"/>
    <w:rsid w:val="00F17207"/>
    <w:rsid w:val="00F174E7"/>
    <w:rsid w:val="00F17507"/>
    <w:rsid w:val="00F17600"/>
    <w:rsid w:val="00F17B89"/>
    <w:rsid w:val="00F21A0F"/>
    <w:rsid w:val="00F21FE4"/>
    <w:rsid w:val="00F22535"/>
    <w:rsid w:val="00F23833"/>
    <w:rsid w:val="00F23C03"/>
    <w:rsid w:val="00F23E21"/>
    <w:rsid w:val="00F2420E"/>
    <w:rsid w:val="00F2595D"/>
    <w:rsid w:val="00F25DEC"/>
    <w:rsid w:val="00F2628A"/>
    <w:rsid w:val="00F27437"/>
    <w:rsid w:val="00F274D5"/>
    <w:rsid w:val="00F27A90"/>
    <w:rsid w:val="00F27F56"/>
    <w:rsid w:val="00F30202"/>
    <w:rsid w:val="00F30A9D"/>
    <w:rsid w:val="00F3126C"/>
    <w:rsid w:val="00F32387"/>
    <w:rsid w:val="00F3288C"/>
    <w:rsid w:val="00F32A92"/>
    <w:rsid w:val="00F3353C"/>
    <w:rsid w:val="00F33588"/>
    <w:rsid w:val="00F337E1"/>
    <w:rsid w:val="00F33BCF"/>
    <w:rsid w:val="00F33CFC"/>
    <w:rsid w:val="00F33EA6"/>
    <w:rsid w:val="00F342E7"/>
    <w:rsid w:val="00F346F1"/>
    <w:rsid w:val="00F34916"/>
    <w:rsid w:val="00F35933"/>
    <w:rsid w:val="00F35B1D"/>
    <w:rsid w:val="00F3607F"/>
    <w:rsid w:val="00F366A7"/>
    <w:rsid w:val="00F369B4"/>
    <w:rsid w:val="00F37106"/>
    <w:rsid w:val="00F374B4"/>
    <w:rsid w:val="00F37C05"/>
    <w:rsid w:val="00F37DA4"/>
    <w:rsid w:val="00F40388"/>
    <w:rsid w:val="00F41520"/>
    <w:rsid w:val="00F42FA8"/>
    <w:rsid w:val="00F432E3"/>
    <w:rsid w:val="00F43B81"/>
    <w:rsid w:val="00F44188"/>
    <w:rsid w:val="00F4465B"/>
    <w:rsid w:val="00F44696"/>
    <w:rsid w:val="00F44B48"/>
    <w:rsid w:val="00F44CA3"/>
    <w:rsid w:val="00F4531A"/>
    <w:rsid w:val="00F4677E"/>
    <w:rsid w:val="00F46894"/>
    <w:rsid w:val="00F46A2D"/>
    <w:rsid w:val="00F46B6C"/>
    <w:rsid w:val="00F46F2A"/>
    <w:rsid w:val="00F47145"/>
    <w:rsid w:val="00F47154"/>
    <w:rsid w:val="00F4720A"/>
    <w:rsid w:val="00F5007D"/>
    <w:rsid w:val="00F50CBD"/>
    <w:rsid w:val="00F510D5"/>
    <w:rsid w:val="00F516C3"/>
    <w:rsid w:val="00F522B9"/>
    <w:rsid w:val="00F528A5"/>
    <w:rsid w:val="00F53425"/>
    <w:rsid w:val="00F536E5"/>
    <w:rsid w:val="00F53749"/>
    <w:rsid w:val="00F538AF"/>
    <w:rsid w:val="00F5423A"/>
    <w:rsid w:val="00F543C5"/>
    <w:rsid w:val="00F559E4"/>
    <w:rsid w:val="00F5646A"/>
    <w:rsid w:val="00F56755"/>
    <w:rsid w:val="00F57001"/>
    <w:rsid w:val="00F57947"/>
    <w:rsid w:val="00F57DBB"/>
    <w:rsid w:val="00F60B34"/>
    <w:rsid w:val="00F62887"/>
    <w:rsid w:val="00F64B48"/>
    <w:rsid w:val="00F654C1"/>
    <w:rsid w:val="00F654E1"/>
    <w:rsid w:val="00F65621"/>
    <w:rsid w:val="00F65BE0"/>
    <w:rsid w:val="00F65C2D"/>
    <w:rsid w:val="00F65C87"/>
    <w:rsid w:val="00F65EAB"/>
    <w:rsid w:val="00F66222"/>
    <w:rsid w:val="00F66F31"/>
    <w:rsid w:val="00F66FBB"/>
    <w:rsid w:val="00F67544"/>
    <w:rsid w:val="00F709E8"/>
    <w:rsid w:val="00F70BD4"/>
    <w:rsid w:val="00F71DAC"/>
    <w:rsid w:val="00F721F7"/>
    <w:rsid w:val="00F72E13"/>
    <w:rsid w:val="00F732B7"/>
    <w:rsid w:val="00F736A3"/>
    <w:rsid w:val="00F73FC4"/>
    <w:rsid w:val="00F7415C"/>
    <w:rsid w:val="00F755E6"/>
    <w:rsid w:val="00F7572E"/>
    <w:rsid w:val="00F75A56"/>
    <w:rsid w:val="00F75B70"/>
    <w:rsid w:val="00F763D8"/>
    <w:rsid w:val="00F76483"/>
    <w:rsid w:val="00F76829"/>
    <w:rsid w:val="00F773C0"/>
    <w:rsid w:val="00F773DF"/>
    <w:rsid w:val="00F77401"/>
    <w:rsid w:val="00F77FEC"/>
    <w:rsid w:val="00F80B31"/>
    <w:rsid w:val="00F8120A"/>
    <w:rsid w:val="00F82013"/>
    <w:rsid w:val="00F82B90"/>
    <w:rsid w:val="00F82C9A"/>
    <w:rsid w:val="00F83629"/>
    <w:rsid w:val="00F836BB"/>
    <w:rsid w:val="00F8376F"/>
    <w:rsid w:val="00F84EEB"/>
    <w:rsid w:val="00F85050"/>
    <w:rsid w:val="00F85FE6"/>
    <w:rsid w:val="00F860B4"/>
    <w:rsid w:val="00F86225"/>
    <w:rsid w:val="00F8642B"/>
    <w:rsid w:val="00F86B4B"/>
    <w:rsid w:val="00F87E8D"/>
    <w:rsid w:val="00F90293"/>
    <w:rsid w:val="00F90E13"/>
    <w:rsid w:val="00F91624"/>
    <w:rsid w:val="00F930FB"/>
    <w:rsid w:val="00F944DD"/>
    <w:rsid w:val="00F951C1"/>
    <w:rsid w:val="00F9580D"/>
    <w:rsid w:val="00F965DD"/>
    <w:rsid w:val="00F967F5"/>
    <w:rsid w:val="00F97EAC"/>
    <w:rsid w:val="00FA0009"/>
    <w:rsid w:val="00FA0530"/>
    <w:rsid w:val="00FA0DD6"/>
    <w:rsid w:val="00FA0E19"/>
    <w:rsid w:val="00FA1718"/>
    <w:rsid w:val="00FA1C7F"/>
    <w:rsid w:val="00FA3309"/>
    <w:rsid w:val="00FA3396"/>
    <w:rsid w:val="00FA3A90"/>
    <w:rsid w:val="00FA4150"/>
    <w:rsid w:val="00FA43F5"/>
    <w:rsid w:val="00FA45FF"/>
    <w:rsid w:val="00FA49A0"/>
    <w:rsid w:val="00FA4F85"/>
    <w:rsid w:val="00FA6D04"/>
    <w:rsid w:val="00FA6E08"/>
    <w:rsid w:val="00FA78D4"/>
    <w:rsid w:val="00FA78DD"/>
    <w:rsid w:val="00FA7EB0"/>
    <w:rsid w:val="00FA7F2D"/>
    <w:rsid w:val="00FB1829"/>
    <w:rsid w:val="00FB1D3B"/>
    <w:rsid w:val="00FB1E4D"/>
    <w:rsid w:val="00FB2281"/>
    <w:rsid w:val="00FB2E33"/>
    <w:rsid w:val="00FB31FE"/>
    <w:rsid w:val="00FB330A"/>
    <w:rsid w:val="00FB3CC4"/>
    <w:rsid w:val="00FB4479"/>
    <w:rsid w:val="00FB46C3"/>
    <w:rsid w:val="00FB473F"/>
    <w:rsid w:val="00FB4FA0"/>
    <w:rsid w:val="00FB5868"/>
    <w:rsid w:val="00FB59C3"/>
    <w:rsid w:val="00FB74D7"/>
    <w:rsid w:val="00FB759D"/>
    <w:rsid w:val="00FB79DD"/>
    <w:rsid w:val="00FB7BCB"/>
    <w:rsid w:val="00FB7BF4"/>
    <w:rsid w:val="00FC09DA"/>
    <w:rsid w:val="00FC178F"/>
    <w:rsid w:val="00FC2193"/>
    <w:rsid w:val="00FC29A2"/>
    <w:rsid w:val="00FC308F"/>
    <w:rsid w:val="00FC40F5"/>
    <w:rsid w:val="00FC42ED"/>
    <w:rsid w:val="00FC4665"/>
    <w:rsid w:val="00FC500C"/>
    <w:rsid w:val="00FC5DD6"/>
    <w:rsid w:val="00FC65A2"/>
    <w:rsid w:val="00FC68CC"/>
    <w:rsid w:val="00FC7071"/>
    <w:rsid w:val="00FC7776"/>
    <w:rsid w:val="00FD0897"/>
    <w:rsid w:val="00FD102F"/>
    <w:rsid w:val="00FD13D6"/>
    <w:rsid w:val="00FD2139"/>
    <w:rsid w:val="00FD2466"/>
    <w:rsid w:val="00FD30F6"/>
    <w:rsid w:val="00FD39C8"/>
    <w:rsid w:val="00FD4A9E"/>
    <w:rsid w:val="00FD4E15"/>
    <w:rsid w:val="00FD629F"/>
    <w:rsid w:val="00FD6AED"/>
    <w:rsid w:val="00FE035D"/>
    <w:rsid w:val="00FE0748"/>
    <w:rsid w:val="00FE0D17"/>
    <w:rsid w:val="00FE1711"/>
    <w:rsid w:val="00FE1727"/>
    <w:rsid w:val="00FE31F7"/>
    <w:rsid w:val="00FE3339"/>
    <w:rsid w:val="00FE3D0F"/>
    <w:rsid w:val="00FE445D"/>
    <w:rsid w:val="00FE45DF"/>
    <w:rsid w:val="00FE4684"/>
    <w:rsid w:val="00FE5545"/>
    <w:rsid w:val="00FE656C"/>
    <w:rsid w:val="00FE7D42"/>
    <w:rsid w:val="00FF0969"/>
    <w:rsid w:val="00FF1A3F"/>
    <w:rsid w:val="00FF1BAC"/>
    <w:rsid w:val="00FF1FC9"/>
    <w:rsid w:val="00FF2320"/>
    <w:rsid w:val="00FF34A0"/>
    <w:rsid w:val="00FF359C"/>
    <w:rsid w:val="00FF3A25"/>
    <w:rsid w:val="00FF510A"/>
    <w:rsid w:val="00FF64E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F8F2F8"/>
  <w14:defaultImageDpi w14:val="330"/>
  <w15:chartTrackingRefBased/>
  <w15:docId w15:val="{95C15EB9-4C45-42CF-8885-D5E4DB24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14C9"/>
    <w:pPr>
      <w:jc w:val="both"/>
    </w:pPr>
    <w:rPr>
      <w:rFonts w:ascii="Times New Roman" w:hAnsi="Times New Roman"/>
    </w:rPr>
  </w:style>
  <w:style w:type="paragraph" w:styleId="Heading1">
    <w:name w:val="heading 1"/>
    <w:basedOn w:val="ListParagraph"/>
    <w:next w:val="Normal"/>
    <w:link w:val="Heading1Char"/>
    <w:uiPriority w:val="9"/>
    <w:qFormat/>
    <w:rsid w:val="00C51EBD"/>
    <w:pPr>
      <w:spacing w:after="0" w:line="240" w:lineRule="auto"/>
      <w:ind w:left="432" w:hanging="432"/>
      <w:outlineLvl w:val="0"/>
    </w:pPr>
    <w:rPr>
      <w:b/>
      <w:sz w:val="24"/>
      <w:szCs w:val="24"/>
    </w:rPr>
  </w:style>
  <w:style w:type="paragraph" w:styleId="Heading2">
    <w:name w:val="heading 2"/>
    <w:basedOn w:val="ListParagraph"/>
    <w:next w:val="Normal"/>
    <w:link w:val="Heading2Char"/>
    <w:uiPriority w:val="9"/>
    <w:unhideWhenUsed/>
    <w:qFormat/>
    <w:rsid w:val="00C51EBD"/>
    <w:pPr>
      <w:spacing w:after="0" w:line="240" w:lineRule="auto"/>
      <w:ind w:left="576" w:hanging="576"/>
      <w:outlineLvl w:val="1"/>
    </w:pPr>
    <w:rPr>
      <w:i/>
      <w:sz w:val="24"/>
    </w:rPr>
  </w:style>
  <w:style w:type="paragraph" w:styleId="Heading3">
    <w:name w:val="heading 3"/>
    <w:basedOn w:val="Normal"/>
    <w:next w:val="Normal"/>
    <w:link w:val="Heading3Char"/>
    <w:uiPriority w:val="9"/>
    <w:unhideWhenUsed/>
    <w:qFormat/>
    <w:rsid w:val="004A14C9"/>
    <w:pPr>
      <w:keepNext/>
      <w:keepLines/>
      <w:numPr>
        <w:ilvl w:val="2"/>
        <w:numId w:val="1"/>
      </w:numPr>
      <w:spacing w:before="40" w:after="0" w:line="48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A14C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14C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A14C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A14C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A14C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14C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14C9"/>
    <w:rPr>
      <w:sz w:val="16"/>
      <w:szCs w:val="16"/>
    </w:rPr>
  </w:style>
  <w:style w:type="paragraph" w:styleId="CommentText">
    <w:name w:val="annotation text"/>
    <w:basedOn w:val="Normal"/>
    <w:link w:val="CommentTextChar"/>
    <w:uiPriority w:val="99"/>
    <w:unhideWhenUsed/>
    <w:rsid w:val="004A14C9"/>
    <w:pPr>
      <w:spacing w:after="200" w:line="240" w:lineRule="auto"/>
    </w:pPr>
    <w:rPr>
      <w:sz w:val="20"/>
      <w:szCs w:val="20"/>
      <w:lang w:eastAsia="en-US"/>
    </w:rPr>
  </w:style>
  <w:style w:type="character" w:customStyle="1" w:styleId="CommentTextChar">
    <w:name w:val="Comment Text Char"/>
    <w:basedOn w:val="DefaultParagraphFont"/>
    <w:link w:val="CommentText"/>
    <w:uiPriority w:val="99"/>
    <w:rsid w:val="004A14C9"/>
    <w:rPr>
      <w:rFonts w:ascii="Times New Roman" w:hAnsi="Times New Roman"/>
      <w:sz w:val="20"/>
      <w:szCs w:val="20"/>
      <w:lang w:eastAsia="en-US"/>
    </w:rPr>
  </w:style>
  <w:style w:type="paragraph" w:styleId="BalloonText">
    <w:name w:val="Balloon Text"/>
    <w:basedOn w:val="Normal"/>
    <w:link w:val="BalloonTextChar"/>
    <w:uiPriority w:val="99"/>
    <w:semiHidden/>
    <w:unhideWhenUsed/>
    <w:rsid w:val="004A1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4C9"/>
    <w:rPr>
      <w:rFonts w:ascii="Segoe UI" w:hAnsi="Segoe UI" w:cs="Segoe UI"/>
      <w:sz w:val="18"/>
      <w:szCs w:val="18"/>
    </w:rPr>
  </w:style>
  <w:style w:type="character" w:customStyle="1" w:styleId="Heading1Char">
    <w:name w:val="Heading 1 Char"/>
    <w:basedOn w:val="DefaultParagraphFont"/>
    <w:link w:val="Heading1"/>
    <w:uiPriority w:val="9"/>
    <w:rsid w:val="00C51EBD"/>
    <w:rPr>
      <w:rFonts w:ascii="Times New Roman" w:hAnsi="Times New Roman"/>
      <w:b/>
      <w:sz w:val="24"/>
      <w:szCs w:val="24"/>
    </w:rPr>
  </w:style>
  <w:style w:type="character" w:customStyle="1" w:styleId="Heading2Char">
    <w:name w:val="Heading 2 Char"/>
    <w:basedOn w:val="DefaultParagraphFont"/>
    <w:link w:val="Heading2"/>
    <w:uiPriority w:val="9"/>
    <w:rsid w:val="00C51EBD"/>
    <w:rPr>
      <w:rFonts w:ascii="Times New Roman" w:hAnsi="Times New Roman"/>
      <w:i/>
      <w:sz w:val="24"/>
    </w:rPr>
  </w:style>
  <w:style w:type="character" w:customStyle="1" w:styleId="Heading3Char">
    <w:name w:val="Heading 3 Char"/>
    <w:basedOn w:val="DefaultParagraphFont"/>
    <w:link w:val="Heading3"/>
    <w:uiPriority w:val="9"/>
    <w:rsid w:val="004A14C9"/>
    <w:rPr>
      <w:rFonts w:ascii="Times New Roman" w:eastAsiaTheme="majorEastAsia" w:hAnsi="Times New Roman" w:cstheme="majorBidi"/>
      <w:b/>
      <w:szCs w:val="24"/>
    </w:rPr>
  </w:style>
  <w:style w:type="character" w:customStyle="1" w:styleId="Heading4Char">
    <w:name w:val="Heading 4 Char"/>
    <w:basedOn w:val="DefaultParagraphFont"/>
    <w:link w:val="Heading4"/>
    <w:uiPriority w:val="9"/>
    <w:rsid w:val="004A14C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A14C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A14C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A14C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A14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14C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A14C9"/>
    <w:pPr>
      <w:ind w:left="720"/>
      <w:contextualSpacing/>
    </w:pPr>
  </w:style>
  <w:style w:type="paragraph" w:customStyle="1" w:styleId="TAMainText">
    <w:name w:val="TA_Main_Text"/>
    <w:basedOn w:val="Normal"/>
    <w:rsid w:val="004A14C9"/>
    <w:pPr>
      <w:spacing w:after="0" w:line="480" w:lineRule="auto"/>
      <w:ind w:firstLine="202"/>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4A14C9"/>
    <w:rPr>
      <w:color w:val="0563C1" w:themeColor="hyperlink"/>
      <w:u w:val="single"/>
    </w:rPr>
  </w:style>
  <w:style w:type="paragraph" w:styleId="Bibliography">
    <w:name w:val="Bibliography"/>
    <w:basedOn w:val="Normal"/>
    <w:next w:val="Normal"/>
    <w:uiPriority w:val="37"/>
    <w:unhideWhenUsed/>
    <w:rsid w:val="005842DC"/>
    <w:pPr>
      <w:tabs>
        <w:tab w:val="left" w:pos="504"/>
      </w:tabs>
      <w:spacing w:after="0" w:line="240" w:lineRule="auto"/>
      <w:ind w:left="504" w:hanging="504"/>
    </w:pPr>
  </w:style>
  <w:style w:type="table" w:styleId="TableGrid">
    <w:name w:val="Table Grid"/>
    <w:basedOn w:val="TableNormal"/>
    <w:uiPriority w:val="39"/>
    <w:rsid w:val="006E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9359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6E1DC0"/>
    <w:pPr>
      <w:spacing w:after="160"/>
    </w:pPr>
    <w:rPr>
      <w:b/>
      <w:bCs/>
      <w:lang w:eastAsia="ko-KR"/>
    </w:rPr>
  </w:style>
  <w:style w:type="character" w:customStyle="1" w:styleId="CommentSubjectChar">
    <w:name w:val="Comment Subject Char"/>
    <w:basedOn w:val="CommentTextChar"/>
    <w:link w:val="CommentSubject"/>
    <w:uiPriority w:val="99"/>
    <w:semiHidden/>
    <w:rsid w:val="006E1DC0"/>
    <w:rPr>
      <w:rFonts w:ascii="Times New Roman" w:hAnsi="Times New Roman"/>
      <w:b/>
      <w:bCs/>
      <w:sz w:val="20"/>
      <w:szCs w:val="20"/>
      <w:lang w:eastAsia="en-US"/>
    </w:rPr>
  </w:style>
  <w:style w:type="paragraph" w:styleId="NoSpacing">
    <w:name w:val="No Spacing"/>
    <w:uiPriority w:val="1"/>
    <w:qFormat/>
    <w:rsid w:val="003A5EFF"/>
    <w:pPr>
      <w:spacing w:after="0" w:line="240" w:lineRule="auto"/>
      <w:jc w:val="both"/>
    </w:pPr>
    <w:rPr>
      <w:rFonts w:ascii="Times New Roman" w:hAnsi="Times New Roman"/>
    </w:rPr>
  </w:style>
  <w:style w:type="paragraph" w:styleId="Caption">
    <w:name w:val="caption"/>
    <w:basedOn w:val="Normal"/>
    <w:next w:val="Normal"/>
    <w:uiPriority w:val="35"/>
    <w:unhideWhenUsed/>
    <w:qFormat/>
    <w:rsid w:val="00EF6937"/>
    <w:pPr>
      <w:keepNext/>
      <w:spacing w:after="200" w:line="240" w:lineRule="auto"/>
    </w:pPr>
    <w:rPr>
      <w:b/>
      <w:bCs/>
      <w:szCs w:val="18"/>
    </w:rPr>
  </w:style>
  <w:style w:type="paragraph" w:customStyle="1" w:styleId="Body">
    <w:name w:val="Body"/>
    <w:basedOn w:val="Normal"/>
    <w:rsid w:val="00602E6B"/>
    <w:pPr>
      <w:tabs>
        <w:tab w:val="left" w:pos="360"/>
      </w:tabs>
      <w:spacing w:after="0" w:line="240" w:lineRule="auto"/>
      <w:jc w:val="left"/>
    </w:pPr>
    <w:rPr>
      <w:rFonts w:eastAsia="Times New Roman" w:cs="Times New Roman"/>
      <w:lang w:eastAsia="en-US"/>
    </w:rPr>
  </w:style>
  <w:style w:type="paragraph" w:styleId="Revision">
    <w:name w:val="Revision"/>
    <w:hidden/>
    <w:uiPriority w:val="99"/>
    <w:semiHidden/>
    <w:rsid w:val="00011C04"/>
    <w:pPr>
      <w:spacing w:after="0" w:line="240" w:lineRule="auto"/>
    </w:pPr>
    <w:rPr>
      <w:rFonts w:ascii="Times New Roman" w:hAnsi="Times New Roman"/>
    </w:rPr>
  </w:style>
  <w:style w:type="paragraph" w:customStyle="1" w:styleId="Default">
    <w:name w:val="Default"/>
    <w:rsid w:val="00A02410"/>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0D216B"/>
  </w:style>
  <w:style w:type="table" w:customStyle="1" w:styleId="PlainTable31">
    <w:name w:val="Plain Table 31"/>
    <w:basedOn w:val="TableNormal"/>
    <w:uiPriority w:val="43"/>
    <w:rsid w:val="00A557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19">
    <w:name w:val="Pa19"/>
    <w:basedOn w:val="Default"/>
    <w:next w:val="Default"/>
    <w:uiPriority w:val="99"/>
    <w:rsid w:val="00AC6D50"/>
    <w:pPr>
      <w:spacing w:line="231" w:lineRule="atLeast"/>
    </w:pPr>
    <w:rPr>
      <w:rFonts w:ascii="Times" w:hAnsi="Times" w:cs="Times"/>
      <w:color w:val="auto"/>
    </w:rPr>
  </w:style>
  <w:style w:type="character" w:styleId="LineNumber">
    <w:name w:val="line number"/>
    <w:basedOn w:val="DefaultParagraphFont"/>
    <w:uiPriority w:val="99"/>
    <w:semiHidden/>
    <w:unhideWhenUsed/>
    <w:rsid w:val="00FA3396"/>
  </w:style>
  <w:style w:type="paragraph" w:styleId="Header">
    <w:name w:val="header"/>
    <w:basedOn w:val="Normal"/>
    <w:link w:val="HeaderChar"/>
    <w:uiPriority w:val="99"/>
    <w:unhideWhenUsed/>
    <w:rsid w:val="00051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DDA"/>
    <w:rPr>
      <w:rFonts w:ascii="Times New Roman" w:hAnsi="Times New Roman"/>
    </w:rPr>
  </w:style>
  <w:style w:type="paragraph" w:styleId="Footer">
    <w:name w:val="footer"/>
    <w:basedOn w:val="Normal"/>
    <w:link w:val="FooterChar"/>
    <w:uiPriority w:val="99"/>
    <w:unhideWhenUsed/>
    <w:rsid w:val="0005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DDA"/>
    <w:rPr>
      <w:rFonts w:ascii="Times New Roman" w:hAnsi="Times New Roman"/>
    </w:rPr>
  </w:style>
  <w:style w:type="character" w:styleId="FollowedHyperlink">
    <w:name w:val="FollowedHyperlink"/>
    <w:basedOn w:val="DefaultParagraphFont"/>
    <w:uiPriority w:val="99"/>
    <w:semiHidden/>
    <w:unhideWhenUsed/>
    <w:rsid w:val="005A1635"/>
    <w:rPr>
      <w:color w:val="954F72" w:themeColor="followedHyperlink"/>
      <w:u w:val="single"/>
    </w:rPr>
  </w:style>
  <w:style w:type="paragraph" w:styleId="NormalWeb">
    <w:name w:val="Normal (Web)"/>
    <w:basedOn w:val="Normal"/>
    <w:uiPriority w:val="99"/>
    <w:semiHidden/>
    <w:unhideWhenUsed/>
    <w:rsid w:val="00027DF2"/>
    <w:pPr>
      <w:spacing w:before="100" w:beforeAutospacing="1" w:after="100" w:afterAutospacing="1" w:line="240" w:lineRule="auto"/>
      <w:jc w:val="left"/>
    </w:pPr>
    <w:rPr>
      <w:rFonts w:cs="Times New Roman"/>
      <w:sz w:val="24"/>
      <w:szCs w:val="24"/>
    </w:rPr>
  </w:style>
  <w:style w:type="character" w:customStyle="1" w:styleId="UnresolvedMention">
    <w:name w:val="Unresolved Mention"/>
    <w:basedOn w:val="DefaultParagraphFont"/>
    <w:uiPriority w:val="99"/>
    <w:semiHidden/>
    <w:unhideWhenUsed/>
    <w:rsid w:val="00B27E85"/>
    <w:rPr>
      <w:color w:val="605E5C"/>
      <w:shd w:val="clear" w:color="auto" w:fill="E1DFDD"/>
    </w:rPr>
  </w:style>
  <w:style w:type="character" w:styleId="PlaceholderText">
    <w:name w:val="Placeholder Text"/>
    <w:basedOn w:val="DefaultParagraphFont"/>
    <w:uiPriority w:val="99"/>
    <w:semiHidden/>
    <w:rsid w:val="00B72896"/>
    <w:rPr>
      <w:color w:val="808080"/>
    </w:rPr>
  </w:style>
  <w:style w:type="paragraph" w:customStyle="1" w:styleId="Reference">
    <w:name w:val="Reference"/>
    <w:basedOn w:val="Normal"/>
    <w:next w:val="Normal"/>
    <w:rsid w:val="00AD35A4"/>
    <w:pPr>
      <w:numPr>
        <w:numId w:val="27"/>
      </w:numPr>
      <w:spacing w:after="240" w:line="240" w:lineRule="auto"/>
      <w:ind w:left="0" w:firstLine="0"/>
      <w:jc w:val="left"/>
    </w:pPr>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033">
      <w:bodyDiv w:val="1"/>
      <w:marLeft w:val="0"/>
      <w:marRight w:val="0"/>
      <w:marTop w:val="0"/>
      <w:marBottom w:val="0"/>
      <w:divBdr>
        <w:top w:val="none" w:sz="0" w:space="0" w:color="auto"/>
        <w:left w:val="none" w:sz="0" w:space="0" w:color="auto"/>
        <w:bottom w:val="none" w:sz="0" w:space="0" w:color="auto"/>
        <w:right w:val="none" w:sz="0" w:space="0" w:color="auto"/>
      </w:divBdr>
      <w:divsChild>
        <w:div w:id="188181914">
          <w:marLeft w:val="0"/>
          <w:marRight w:val="0"/>
          <w:marTop w:val="0"/>
          <w:marBottom w:val="0"/>
          <w:divBdr>
            <w:top w:val="none" w:sz="0" w:space="0" w:color="auto"/>
            <w:left w:val="none" w:sz="0" w:space="0" w:color="auto"/>
            <w:bottom w:val="none" w:sz="0" w:space="0" w:color="auto"/>
            <w:right w:val="none" w:sz="0" w:space="0" w:color="auto"/>
          </w:divBdr>
        </w:div>
        <w:div w:id="413824300">
          <w:marLeft w:val="0"/>
          <w:marRight w:val="0"/>
          <w:marTop w:val="0"/>
          <w:marBottom w:val="0"/>
          <w:divBdr>
            <w:top w:val="none" w:sz="0" w:space="0" w:color="auto"/>
            <w:left w:val="none" w:sz="0" w:space="0" w:color="auto"/>
            <w:bottom w:val="none" w:sz="0" w:space="0" w:color="auto"/>
            <w:right w:val="none" w:sz="0" w:space="0" w:color="auto"/>
          </w:divBdr>
        </w:div>
        <w:div w:id="419914714">
          <w:marLeft w:val="0"/>
          <w:marRight w:val="0"/>
          <w:marTop w:val="0"/>
          <w:marBottom w:val="0"/>
          <w:divBdr>
            <w:top w:val="none" w:sz="0" w:space="0" w:color="auto"/>
            <w:left w:val="none" w:sz="0" w:space="0" w:color="auto"/>
            <w:bottom w:val="none" w:sz="0" w:space="0" w:color="auto"/>
            <w:right w:val="none" w:sz="0" w:space="0" w:color="auto"/>
          </w:divBdr>
        </w:div>
        <w:div w:id="645748311">
          <w:marLeft w:val="0"/>
          <w:marRight w:val="0"/>
          <w:marTop w:val="0"/>
          <w:marBottom w:val="0"/>
          <w:divBdr>
            <w:top w:val="none" w:sz="0" w:space="0" w:color="auto"/>
            <w:left w:val="none" w:sz="0" w:space="0" w:color="auto"/>
            <w:bottom w:val="none" w:sz="0" w:space="0" w:color="auto"/>
            <w:right w:val="none" w:sz="0" w:space="0" w:color="auto"/>
          </w:divBdr>
        </w:div>
        <w:div w:id="1041788063">
          <w:marLeft w:val="0"/>
          <w:marRight w:val="0"/>
          <w:marTop w:val="0"/>
          <w:marBottom w:val="0"/>
          <w:divBdr>
            <w:top w:val="none" w:sz="0" w:space="0" w:color="auto"/>
            <w:left w:val="none" w:sz="0" w:space="0" w:color="auto"/>
            <w:bottom w:val="none" w:sz="0" w:space="0" w:color="auto"/>
            <w:right w:val="none" w:sz="0" w:space="0" w:color="auto"/>
          </w:divBdr>
        </w:div>
        <w:div w:id="1055618693">
          <w:marLeft w:val="0"/>
          <w:marRight w:val="0"/>
          <w:marTop w:val="0"/>
          <w:marBottom w:val="0"/>
          <w:divBdr>
            <w:top w:val="none" w:sz="0" w:space="0" w:color="auto"/>
            <w:left w:val="none" w:sz="0" w:space="0" w:color="auto"/>
            <w:bottom w:val="none" w:sz="0" w:space="0" w:color="auto"/>
            <w:right w:val="none" w:sz="0" w:space="0" w:color="auto"/>
          </w:divBdr>
        </w:div>
        <w:div w:id="1320035707">
          <w:marLeft w:val="0"/>
          <w:marRight w:val="0"/>
          <w:marTop w:val="0"/>
          <w:marBottom w:val="0"/>
          <w:divBdr>
            <w:top w:val="none" w:sz="0" w:space="0" w:color="auto"/>
            <w:left w:val="none" w:sz="0" w:space="0" w:color="auto"/>
            <w:bottom w:val="none" w:sz="0" w:space="0" w:color="auto"/>
            <w:right w:val="none" w:sz="0" w:space="0" w:color="auto"/>
          </w:divBdr>
        </w:div>
        <w:div w:id="1765297652">
          <w:marLeft w:val="0"/>
          <w:marRight w:val="0"/>
          <w:marTop w:val="0"/>
          <w:marBottom w:val="0"/>
          <w:divBdr>
            <w:top w:val="none" w:sz="0" w:space="0" w:color="auto"/>
            <w:left w:val="none" w:sz="0" w:space="0" w:color="auto"/>
            <w:bottom w:val="none" w:sz="0" w:space="0" w:color="auto"/>
            <w:right w:val="none" w:sz="0" w:space="0" w:color="auto"/>
          </w:divBdr>
        </w:div>
        <w:div w:id="2101487296">
          <w:marLeft w:val="0"/>
          <w:marRight w:val="0"/>
          <w:marTop w:val="0"/>
          <w:marBottom w:val="0"/>
          <w:divBdr>
            <w:top w:val="none" w:sz="0" w:space="0" w:color="auto"/>
            <w:left w:val="none" w:sz="0" w:space="0" w:color="auto"/>
            <w:bottom w:val="none" w:sz="0" w:space="0" w:color="auto"/>
            <w:right w:val="none" w:sz="0" w:space="0" w:color="auto"/>
          </w:divBdr>
        </w:div>
      </w:divsChild>
    </w:div>
    <w:div w:id="13464451">
      <w:bodyDiv w:val="1"/>
      <w:marLeft w:val="0"/>
      <w:marRight w:val="0"/>
      <w:marTop w:val="0"/>
      <w:marBottom w:val="0"/>
      <w:divBdr>
        <w:top w:val="none" w:sz="0" w:space="0" w:color="auto"/>
        <w:left w:val="none" w:sz="0" w:space="0" w:color="auto"/>
        <w:bottom w:val="none" w:sz="0" w:space="0" w:color="auto"/>
        <w:right w:val="none" w:sz="0" w:space="0" w:color="auto"/>
      </w:divBdr>
    </w:div>
    <w:div w:id="32199506">
      <w:bodyDiv w:val="1"/>
      <w:marLeft w:val="0"/>
      <w:marRight w:val="0"/>
      <w:marTop w:val="0"/>
      <w:marBottom w:val="0"/>
      <w:divBdr>
        <w:top w:val="none" w:sz="0" w:space="0" w:color="auto"/>
        <w:left w:val="none" w:sz="0" w:space="0" w:color="auto"/>
        <w:bottom w:val="none" w:sz="0" w:space="0" w:color="auto"/>
        <w:right w:val="none" w:sz="0" w:space="0" w:color="auto"/>
      </w:divBdr>
    </w:div>
    <w:div w:id="166410787">
      <w:bodyDiv w:val="1"/>
      <w:marLeft w:val="0"/>
      <w:marRight w:val="0"/>
      <w:marTop w:val="0"/>
      <w:marBottom w:val="0"/>
      <w:divBdr>
        <w:top w:val="none" w:sz="0" w:space="0" w:color="auto"/>
        <w:left w:val="none" w:sz="0" w:space="0" w:color="auto"/>
        <w:bottom w:val="none" w:sz="0" w:space="0" w:color="auto"/>
        <w:right w:val="none" w:sz="0" w:space="0" w:color="auto"/>
      </w:divBdr>
    </w:div>
    <w:div w:id="175510662">
      <w:bodyDiv w:val="1"/>
      <w:marLeft w:val="0"/>
      <w:marRight w:val="0"/>
      <w:marTop w:val="0"/>
      <w:marBottom w:val="0"/>
      <w:divBdr>
        <w:top w:val="none" w:sz="0" w:space="0" w:color="auto"/>
        <w:left w:val="none" w:sz="0" w:space="0" w:color="auto"/>
        <w:bottom w:val="none" w:sz="0" w:space="0" w:color="auto"/>
        <w:right w:val="none" w:sz="0" w:space="0" w:color="auto"/>
      </w:divBdr>
    </w:div>
    <w:div w:id="180093898">
      <w:bodyDiv w:val="1"/>
      <w:marLeft w:val="0"/>
      <w:marRight w:val="0"/>
      <w:marTop w:val="0"/>
      <w:marBottom w:val="0"/>
      <w:divBdr>
        <w:top w:val="none" w:sz="0" w:space="0" w:color="auto"/>
        <w:left w:val="none" w:sz="0" w:space="0" w:color="auto"/>
        <w:bottom w:val="none" w:sz="0" w:space="0" w:color="auto"/>
        <w:right w:val="none" w:sz="0" w:space="0" w:color="auto"/>
      </w:divBdr>
    </w:div>
    <w:div w:id="263659339">
      <w:bodyDiv w:val="1"/>
      <w:marLeft w:val="0"/>
      <w:marRight w:val="0"/>
      <w:marTop w:val="0"/>
      <w:marBottom w:val="0"/>
      <w:divBdr>
        <w:top w:val="none" w:sz="0" w:space="0" w:color="auto"/>
        <w:left w:val="none" w:sz="0" w:space="0" w:color="auto"/>
        <w:bottom w:val="none" w:sz="0" w:space="0" w:color="auto"/>
        <w:right w:val="none" w:sz="0" w:space="0" w:color="auto"/>
      </w:divBdr>
    </w:div>
    <w:div w:id="304161241">
      <w:bodyDiv w:val="1"/>
      <w:marLeft w:val="0"/>
      <w:marRight w:val="0"/>
      <w:marTop w:val="0"/>
      <w:marBottom w:val="0"/>
      <w:divBdr>
        <w:top w:val="none" w:sz="0" w:space="0" w:color="auto"/>
        <w:left w:val="none" w:sz="0" w:space="0" w:color="auto"/>
        <w:bottom w:val="none" w:sz="0" w:space="0" w:color="auto"/>
        <w:right w:val="none" w:sz="0" w:space="0" w:color="auto"/>
      </w:divBdr>
      <w:divsChild>
        <w:div w:id="14774680">
          <w:marLeft w:val="0"/>
          <w:marRight w:val="0"/>
          <w:marTop w:val="0"/>
          <w:marBottom w:val="0"/>
          <w:divBdr>
            <w:top w:val="none" w:sz="0" w:space="0" w:color="auto"/>
            <w:left w:val="none" w:sz="0" w:space="0" w:color="auto"/>
            <w:bottom w:val="none" w:sz="0" w:space="0" w:color="auto"/>
            <w:right w:val="none" w:sz="0" w:space="0" w:color="auto"/>
          </w:divBdr>
        </w:div>
        <w:div w:id="34893538">
          <w:marLeft w:val="0"/>
          <w:marRight w:val="0"/>
          <w:marTop w:val="0"/>
          <w:marBottom w:val="0"/>
          <w:divBdr>
            <w:top w:val="none" w:sz="0" w:space="0" w:color="auto"/>
            <w:left w:val="none" w:sz="0" w:space="0" w:color="auto"/>
            <w:bottom w:val="none" w:sz="0" w:space="0" w:color="auto"/>
            <w:right w:val="none" w:sz="0" w:space="0" w:color="auto"/>
          </w:divBdr>
        </w:div>
        <w:div w:id="640035475">
          <w:marLeft w:val="0"/>
          <w:marRight w:val="0"/>
          <w:marTop w:val="0"/>
          <w:marBottom w:val="0"/>
          <w:divBdr>
            <w:top w:val="none" w:sz="0" w:space="0" w:color="auto"/>
            <w:left w:val="none" w:sz="0" w:space="0" w:color="auto"/>
            <w:bottom w:val="none" w:sz="0" w:space="0" w:color="auto"/>
            <w:right w:val="none" w:sz="0" w:space="0" w:color="auto"/>
          </w:divBdr>
        </w:div>
        <w:div w:id="882866822">
          <w:marLeft w:val="0"/>
          <w:marRight w:val="0"/>
          <w:marTop w:val="0"/>
          <w:marBottom w:val="0"/>
          <w:divBdr>
            <w:top w:val="none" w:sz="0" w:space="0" w:color="auto"/>
            <w:left w:val="none" w:sz="0" w:space="0" w:color="auto"/>
            <w:bottom w:val="none" w:sz="0" w:space="0" w:color="auto"/>
            <w:right w:val="none" w:sz="0" w:space="0" w:color="auto"/>
          </w:divBdr>
        </w:div>
        <w:div w:id="1111898797">
          <w:marLeft w:val="0"/>
          <w:marRight w:val="0"/>
          <w:marTop w:val="0"/>
          <w:marBottom w:val="0"/>
          <w:divBdr>
            <w:top w:val="none" w:sz="0" w:space="0" w:color="auto"/>
            <w:left w:val="none" w:sz="0" w:space="0" w:color="auto"/>
            <w:bottom w:val="none" w:sz="0" w:space="0" w:color="auto"/>
            <w:right w:val="none" w:sz="0" w:space="0" w:color="auto"/>
          </w:divBdr>
        </w:div>
        <w:div w:id="1803887225">
          <w:marLeft w:val="0"/>
          <w:marRight w:val="0"/>
          <w:marTop w:val="0"/>
          <w:marBottom w:val="0"/>
          <w:divBdr>
            <w:top w:val="none" w:sz="0" w:space="0" w:color="auto"/>
            <w:left w:val="none" w:sz="0" w:space="0" w:color="auto"/>
            <w:bottom w:val="none" w:sz="0" w:space="0" w:color="auto"/>
            <w:right w:val="none" w:sz="0" w:space="0" w:color="auto"/>
          </w:divBdr>
        </w:div>
        <w:div w:id="1894078291">
          <w:marLeft w:val="0"/>
          <w:marRight w:val="0"/>
          <w:marTop w:val="0"/>
          <w:marBottom w:val="0"/>
          <w:divBdr>
            <w:top w:val="none" w:sz="0" w:space="0" w:color="auto"/>
            <w:left w:val="none" w:sz="0" w:space="0" w:color="auto"/>
            <w:bottom w:val="none" w:sz="0" w:space="0" w:color="auto"/>
            <w:right w:val="none" w:sz="0" w:space="0" w:color="auto"/>
          </w:divBdr>
        </w:div>
      </w:divsChild>
    </w:div>
    <w:div w:id="359018596">
      <w:bodyDiv w:val="1"/>
      <w:marLeft w:val="0"/>
      <w:marRight w:val="0"/>
      <w:marTop w:val="0"/>
      <w:marBottom w:val="0"/>
      <w:divBdr>
        <w:top w:val="none" w:sz="0" w:space="0" w:color="auto"/>
        <w:left w:val="none" w:sz="0" w:space="0" w:color="auto"/>
        <w:bottom w:val="none" w:sz="0" w:space="0" w:color="auto"/>
        <w:right w:val="none" w:sz="0" w:space="0" w:color="auto"/>
      </w:divBdr>
    </w:div>
    <w:div w:id="415588504">
      <w:bodyDiv w:val="1"/>
      <w:marLeft w:val="0"/>
      <w:marRight w:val="0"/>
      <w:marTop w:val="0"/>
      <w:marBottom w:val="0"/>
      <w:divBdr>
        <w:top w:val="none" w:sz="0" w:space="0" w:color="auto"/>
        <w:left w:val="none" w:sz="0" w:space="0" w:color="auto"/>
        <w:bottom w:val="none" w:sz="0" w:space="0" w:color="auto"/>
        <w:right w:val="none" w:sz="0" w:space="0" w:color="auto"/>
      </w:divBdr>
    </w:div>
    <w:div w:id="455681908">
      <w:bodyDiv w:val="1"/>
      <w:marLeft w:val="0"/>
      <w:marRight w:val="0"/>
      <w:marTop w:val="0"/>
      <w:marBottom w:val="0"/>
      <w:divBdr>
        <w:top w:val="none" w:sz="0" w:space="0" w:color="auto"/>
        <w:left w:val="none" w:sz="0" w:space="0" w:color="auto"/>
        <w:bottom w:val="none" w:sz="0" w:space="0" w:color="auto"/>
        <w:right w:val="none" w:sz="0" w:space="0" w:color="auto"/>
      </w:divBdr>
    </w:div>
    <w:div w:id="468404717">
      <w:bodyDiv w:val="1"/>
      <w:marLeft w:val="0"/>
      <w:marRight w:val="0"/>
      <w:marTop w:val="0"/>
      <w:marBottom w:val="0"/>
      <w:divBdr>
        <w:top w:val="none" w:sz="0" w:space="0" w:color="auto"/>
        <w:left w:val="none" w:sz="0" w:space="0" w:color="auto"/>
        <w:bottom w:val="none" w:sz="0" w:space="0" w:color="auto"/>
        <w:right w:val="none" w:sz="0" w:space="0" w:color="auto"/>
      </w:divBdr>
    </w:div>
    <w:div w:id="560556558">
      <w:bodyDiv w:val="1"/>
      <w:marLeft w:val="0"/>
      <w:marRight w:val="0"/>
      <w:marTop w:val="0"/>
      <w:marBottom w:val="0"/>
      <w:divBdr>
        <w:top w:val="none" w:sz="0" w:space="0" w:color="auto"/>
        <w:left w:val="none" w:sz="0" w:space="0" w:color="auto"/>
        <w:bottom w:val="none" w:sz="0" w:space="0" w:color="auto"/>
        <w:right w:val="none" w:sz="0" w:space="0" w:color="auto"/>
      </w:divBdr>
    </w:div>
    <w:div w:id="593822666">
      <w:bodyDiv w:val="1"/>
      <w:marLeft w:val="0"/>
      <w:marRight w:val="0"/>
      <w:marTop w:val="0"/>
      <w:marBottom w:val="0"/>
      <w:divBdr>
        <w:top w:val="none" w:sz="0" w:space="0" w:color="auto"/>
        <w:left w:val="none" w:sz="0" w:space="0" w:color="auto"/>
        <w:bottom w:val="none" w:sz="0" w:space="0" w:color="auto"/>
        <w:right w:val="none" w:sz="0" w:space="0" w:color="auto"/>
      </w:divBdr>
      <w:divsChild>
        <w:div w:id="386538567">
          <w:marLeft w:val="0"/>
          <w:marRight w:val="0"/>
          <w:marTop w:val="0"/>
          <w:marBottom w:val="0"/>
          <w:divBdr>
            <w:top w:val="none" w:sz="0" w:space="0" w:color="auto"/>
            <w:left w:val="none" w:sz="0" w:space="0" w:color="auto"/>
            <w:bottom w:val="none" w:sz="0" w:space="0" w:color="auto"/>
            <w:right w:val="none" w:sz="0" w:space="0" w:color="auto"/>
          </w:divBdr>
        </w:div>
        <w:div w:id="409355801">
          <w:marLeft w:val="0"/>
          <w:marRight w:val="0"/>
          <w:marTop w:val="0"/>
          <w:marBottom w:val="0"/>
          <w:divBdr>
            <w:top w:val="none" w:sz="0" w:space="0" w:color="auto"/>
            <w:left w:val="none" w:sz="0" w:space="0" w:color="auto"/>
            <w:bottom w:val="none" w:sz="0" w:space="0" w:color="auto"/>
            <w:right w:val="none" w:sz="0" w:space="0" w:color="auto"/>
          </w:divBdr>
        </w:div>
        <w:div w:id="500583083">
          <w:marLeft w:val="0"/>
          <w:marRight w:val="0"/>
          <w:marTop w:val="0"/>
          <w:marBottom w:val="0"/>
          <w:divBdr>
            <w:top w:val="none" w:sz="0" w:space="0" w:color="auto"/>
            <w:left w:val="none" w:sz="0" w:space="0" w:color="auto"/>
            <w:bottom w:val="none" w:sz="0" w:space="0" w:color="auto"/>
            <w:right w:val="none" w:sz="0" w:space="0" w:color="auto"/>
          </w:divBdr>
        </w:div>
        <w:div w:id="822509108">
          <w:marLeft w:val="0"/>
          <w:marRight w:val="0"/>
          <w:marTop w:val="0"/>
          <w:marBottom w:val="0"/>
          <w:divBdr>
            <w:top w:val="none" w:sz="0" w:space="0" w:color="auto"/>
            <w:left w:val="none" w:sz="0" w:space="0" w:color="auto"/>
            <w:bottom w:val="none" w:sz="0" w:space="0" w:color="auto"/>
            <w:right w:val="none" w:sz="0" w:space="0" w:color="auto"/>
          </w:divBdr>
        </w:div>
        <w:div w:id="850683418">
          <w:marLeft w:val="0"/>
          <w:marRight w:val="0"/>
          <w:marTop w:val="0"/>
          <w:marBottom w:val="0"/>
          <w:divBdr>
            <w:top w:val="none" w:sz="0" w:space="0" w:color="auto"/>
            <w:left w:val="none" w:sz="0" w:space="0" w:color="auto"/>
            <w:bottom w:val="none" w:sz="0" w:space="0" w:color="auto"/>
            <w:right w:val="none" w:sz="0" w:space="0" w:color="auto"/>
          </w:divBdr>
        </w:div>
        <w:div w:id="1035886299">
          <w:marLeft w:val="0"/>
          <w:marRight w:val="0"/>
          <w:marTop w:val="0"/>
          <w:marBottom w:val="0"/>
          <w:divBdr>
            <w:top w:val="none" w:sz="0" w:space="0" w:color="auto"/>
            <w:left w:val="none" w:sz="0" w:space="0" w:color="auto"/>
            <w:bottom w:val="none" w:sz="0" w:space="0" w:color="auto"/>
            <w:right w:val="none" w:sz="0" w:space="0" w:color="auto"/>
          </w:divBdr>
        </w:div>
        <w:div w:id="1133333077">
          <w:marLeft w:val="0"/>
          <w:marRight w:val="0"/>
          <w:marTop w:val="0"/>
          <w:marBottom w:val="0"/>
          <w:divBdr>
            <w:top w:val="none" w:sz="0" w:space="0" w:color="auto"/>
            <w:left w:val="none" w:sz="0" w:space="0" w:color="auto"/>
            <w:bottom w:val="none" w:sz="0" w:space="0" w:color="auto"/>
            <w:right w:val="none" w:sz="0" w:space="0" w:color="auto"/>
          </w:divBdr>
        </w:div>
        <w:div w:id="1265727728">
          <w:marLeft w:val="0"/>
          <w:marRight w:val="0"/>
          <w:marTop w:val="0"/>
          <w:marBottom w:val="0"/>
          <w:divBdr>
            <w:top w:val="none" w:sz="0" w:space="0" w:color="auto"/>
            <w:left w:val="none" w:sz="0" w:space="0" w:color="auto"/>
            <w:bottom w:val="none" w:sz="0" w:space="0" w:color="auto"/>
            <w:right w:val="none" w:sz="0" w:space="0" w:color="auto"/>
          </w:divBdr>
        </w:div>
        <w:div w:id="1292396632">
          <w:marLeft w:val="0"/>
          <w:marRight w:val="0"/>
          <w:marTop w:val="0"/>
          <w:marBottom w:val="0"/>
          <w:divBdr>
            <w:top w:val="none" w:sz="0" w:space="0" w:color="auto"/>
            <w:left w:val="none" w:sz="0" w:space="0" w:color="auto"/>
            <w:bottom w:val="none" w:sz="0" w:space="0" w:color="auto"/>
            <w:right w:val="none" w:sz="0" w:space="0" w:color="auto"/>
          </w:divBdr>
        </w:div>
      </w:divsChild>
    </w:div>
    <w:div w:id="622155619">
      <w:bodyDiv w:val="1"/>
      <w:marLeft w:val="0"/>
      <w:marRight w:val="0"/>
      <w:marTop w:val="0"/>
      <w:marBottom w:val="0"/>
      <w:divBdr>
        <w:top w:val="none" w:sz="0" w:space="0" w:color="auto"/>
        <w:left w:val="none" w:sz="0" w:space="0" w:color="auto"/>
        <w:bottom w:val="none" w:sz="0" w:space="0" w:color="auto"/>
        <w:right w:val="none" w:sz="0" w:space="0" w:color="auto"/>
      </w:divBdr>
    </w:div>
    <w:div w:id="670451237">
      <w:bodyDiv w:val="1"/>
      <w:marLeft w:val="0"/>
      <w:marRight w:val="0"/>
      <w:marTop w:val="0"/>
      <w:marBottom w:val="0"/>
      <w:divBdr>
        <w:top w:val="none" w:sz="0" w:space="0" w:color="auto"/>
        <w:left w:val="none" w:sz="0" w:space="0" w:color="auto"/>
        <w:bottom w:val="none" w:sz="0" w:space="0" w:color="auto"/>
        <w:right w:val="none" w:sz="0" w:space="0" w:color="auto"/>
      </w:divBdr>
    </w:div>
    <w:div w:id="742533171">
      <w:bodyDiv w:val="1"/>
      <w:marLeft w:val="0"/>
      <w:marRight w:val="0"/>
      <w:marTop w:val="0"/>
      <w:marBottom w:val="0"/>
      <w:divBdr>
        <w:top w:val="none" w:sz="0" w:space="0" w:color="auto"/>
        <w:left w:val="none" w:sz="0" w:space="0" w:color="auto"/>
        <w:bottom w:val="none" w:sz="0" w:space="0" w:color="auto"/>
        <w:right w:val="none" w:sz="0" w:space="0" w:color="auto"/>
      </w:divBdr>
    </w:div>
    <w:div w:id="777143956">
      <w:bodyDiv w:val="1"/>
      <w:marLeft w:val="0"/>
      <w:marRight w:val="0"/>
      <w:marTop w:val="0"/>
      <w:marBottom w:val="0"/>
      <w:divBdr>
        <w:top w:val="none" w:sz="0" w:space="0" w:color="auto"/>
        <w:left w:val="none" w:sz="0" w:space="0" w:color="auto"/>
        <w:bottom w:val="none" w:sz="0" w:space="0" w:color="auto"/>
        <w:right w:val="none" w:sz="0" w:space="0" w:color="auto"/>
      </w:divBdr>
    </w:div>
    <w:div w:id="788743068">
      <w:bodyDiv w:val="1"/>
      <w:marLeft w:val="0"/>
      <w:marRight w:val="0"/>
      <w:marTop w:val="0"/>
      <w:marBottom w:val="0"/>
      <w:divBdr>
        <w:top w:val="none" w:sz="0" w:space="0" w:color="auto"/>
        <w:left w:val="none" w:sz="0" w:space="0" w:color="auto"/>
        <w:bottom w:val="none" w:sz="0" w:space="0" w:color="auto"/>
        <w:right w:val="none" w:sz="0" w:space="0" w:color="auto"/>
      </w:divBdr>
    </w:div>
    <w:div w:id="876815792">
      <w:bodyDiv w:val="1"/>
      <w:marLeft w:val="0"/>
      <w:marRight w:val="0"/>
      <w:marTop w:val="0"/>
      <w:marBottom w:val="0"/>
      <w:divBdr>
        <w:top w:val="none" w:sz="0" w:space="0" w:color="auto"/>
        <w:left w:val="none" w:sz="0" w:space="0" w:color="auto"/>
        <w:bottom w:val="none" w:sz="0" w:space="0" w:color="auto"/>
        <w:right w:val="none" w:sz="0" w:space="0" w:color="auto"/>
      </w:divBdr>
    </w:div>
    <w:div w:id="1038968800">
      <w:bodyDiv w:val="1"/>
      <w:marLeft w:val="0"/>
      <w:marRight w:val="0"/>
      <w:marTop w:val="0"/>
      <w:marBottom w:val="0"/>
      <w:divBdr>
        <w:top w:val="none" w:sz="0" w:space="0" w:color="auto"/>
        <w:left w:val="none" w:sz="0" w:space="0" w:color="auto"/>
        <w:bottom w:val="none" w:sz="0" w:space="0" w:color="auto"/>
        <w:right w:val="none" w:sz="0" w:space="0" w:color="auto"/>
      </w:divBdr>
      <w:divsChild>
        <w:div w:id="378935911">
          <w:marLeft w:val="0"/>
          <w:marRight w:val="0"/>
          <w:marTop w:val="0"/>
          <w:marBottom w:val="0"/>
          <w:divBdr>
            <w:top w:val="none" w:sz="0" w:space="0" w:color="auto"/>
            <w:left w:val="none" w:sz="0" w:space="0" w:color="auto"/>
            <w:bottom w:val="none" w:sz="0" w:space="0" w:color="auto"/>
            <w:right w:val="none" w:sz="0" w:space="0" w:color="auto"/>
          </w:divBdr>
        </w:div>
        <w:div w:id="637036052">
          <w:marLeft w:val="0"/>
          <w:marRight w:val="0"/>
          <w:marTop w:val="0"/>
          <w:marBottom w:val="0"/>
          <w:divBdr>
            <w:top w:val="none" w:sz="0" w:space="0" w:color="auto"/>
            <w:left w:val="none" w:sz="0" w:space="0" w:color="auto"/>
            <w:bottom w:val="none" w:sz="0" w:space="0" w:color="auto"/>
            <w:right w:val="none" w:sz="0" w:space="0" w:color="auto"/>
          </w:divBdr>
        </w:div>
        <w:div w:id="1518041771">
          <w:marLeft w:val="0"/>
          <w:marRight w:val="0"/>
          <w:marTop w:val="0"/>
          <w:marBottom w:val="0"/>
          <w:divBdr>
            <w:top w:val="none" w:sz="0" w:space="0" w:color="auto"/>
            <w:left w:val="none" w:sz="0" w:space="0" w:color="auto"/>
            <w:bottom w:val="none" w:sz="0" w:space="0" w:color="auto"/>
            <w:right w:val="none" w:sz="0" w:space="0" w:color="auto"/>
          </w:divBdr>
        </w:div>
        <w:div w:id="1947344238">
          <w:marLeft w:val="0"/>
          <w:marRight w:val="0"/>
          <w:marTop w:val="0"/>
          <w:marBottom w:val="0"/>
          <w:divBdr>
            <w:top w:val="none" w:sz="0" w:space="0" w:color="auto"/>
            <w:left w:val="none" w:sz="0" w:space="0" w:color="auto"/>
            <w:bottom w:val="none" w:sz="0" w:space="0" w:color="auto"/>
            <w:right w:val="none" w:sz="0" w:space="0" w:color="auto"/>
          </w:divBdr>
        </w:div>
      </w:divsChild>
    </w:div>
    <w:div w:id="1085615356">
      <w:bodyDiv w:val="1"/>
      <w:marLeft w:val="0"/>
      <w:marRight w:val="0"/>
      <w:marTop w:val="0"/>
      <w:marBottom w:val="0"/>
      <w:divBdr>
        <w:top w:val="none" w:sz="0" w:space="0" w:color="auto"/>
        <w:left w:val="none" w:sz="0" w:space="0" w:color="auto"/>
        <w:bottom w:val="none" w:sz="0" w:space="0" w:color="auto"/>
        <w:right w:val="none" w:sz="0" w:space="0" w:color="auto"/>
      </w:divBdr>
    </w:div>
    <w:div w:id="1122455428">
      <w:bodyDiv w:val="1"/>
      <w:marLeft w:val="0"/>
      <w:marRight w:val="0"/>
      <w:marTop w:val="0"/>
      <w:marBottom w:val="0"/>
      <w:divBdr>
        <w:top w:val="none" w:sz="0" w:space="0" w:color="auto"/>
        <w:left w:val="none" w:sz="0" w:space="0" w:color="auto"/>
        <w:bottom w:val="none" w:sz="0" w:space="0" w:color="auto"/>
        <w:right w:val="none" w:sz="0" w:space="0" w:color="auto"/>
      </w:divBdr>
    </w:div>
    <w:div w:id="1135486082">
      <w:bodyDiv w:val="1"/>
      <w:marLeft w:val="0"/>
      <w:marRight w:val="0"/>
      <w:marTop w:val="0"/>
      <w:marBottom w:val="0"/>
      <w:divBdr>
        <w:top w:val="none" w:sz="0" w:space="0" w:color="auto"/>
        <w:left w:val="none" w:sz="0" w:space="0" w:color="auto"/>
        <w:bottom w:val="none" w:sz="0" w:space="0" w:color="auto"/>
        <w:right w:val="none" w:sz="0" w:space="0" w:color="auto"/>
      </w:divBdr>
    </w:div>
    <w:div w:id="1194422297">
      <w:bodyDiv w:val="1"/>
      <w:marLeft w:val="0"/>
      <w:marRight w:val="0"/>
      <w:marTop w:val="0"/>
      <w:marBottom w:val="0"/>
      <w:divBdr>
        <w:top w:val="none" w:sz="0" w:space="0" w:color="auto"/>
        <w:left w:val="none" w:sz="0" w:space="0" w:color="auto"/>
        <w:bottom w:val="none" w:sz="0" w:space="0" w:color="auto"/>
        <w:right w:val="none" w:sz="0" w:space="0" w:color="auto"/>
      </w:divBdr>
    </w:div>
    <w:div w:id="1405295151">
      <w:bodyDiv w:val="1"/>
      <w:marLeft w:val="0"/>
      <w:marRight w:val="0"/>
      <w:marTop w:val="0"/>
      <w:marBottom w:val="0"/>
      <w:divBdr>
        <w:top w:val="none" w:sz="0" w:space="0" w:color="auto"/>
        <w:left w:val="none" w:sz="0" w:space="0" w:color="auto"/>
        <w:bottom w:val="none" w:sz="0" w:space="0" w:color="auto"/>
        <w:right w:val="none" w:sz="0" w:space="0" w:color="auto"/>
      </w:divBdr>
    </w:div>
    <w:div w:id="1419058861">
      <w:bodyDiv w:val="1"/>
      <w:marLeft w:val="0"/>
      <w:marRight w:val="0"/>
      <w:marTop w:val="0"/>
      <w:marBottom w:val="0"/>
      <w:divBdr>
        <w:top w:val="none" w:sz="0" w:space="0" w:color="auto"/>
        <w:left w:val="none" w:sz="0" w:space="0" w:color="auto"/>
        <w:bottom w:val="none" w:sz="0" w:space="0" w:color="auto"/>
        <w:right w:val="none" w:sz="0" w:space="0" w:color="auto"/>
      </w:divBdr>
    </w:div>
    <w:div w:id="1419474405">
      <w:bodyDiv w:val="1"/>
      <w:marLeft w:val="0"/>
      <w:marRight w:val="0"/>
      <w:marTop w:val="0"/>
      <w:marBottom w:val="0"/>
      <w:divBdr>
        <w:top w:val="none" w:sz="0" w:space="0" w:color="auto"/>
        <w:left w:val="none" w:sz="0" w:space="0" w:color="auto"/>
        <w:bottom w:val="none" w:sz="0" w:space="0" w:color="auto"/>
        <w:right w:val="none" w:sz="0" w:space="0" w:color="auto"/>
      </w:divBdr>
    </w:div>
    <w:div w:id="1428303969">
      <w:bodyDiv w:val="1"/>
      <w:marLeft w:val="0"/>
      <w:marRight w:val="0"/>
      <w:marTop w:val="0"/>
      <w:marBottom w:val="0"/>
      <w:divBdr>
        <w:top w:val="none" w:sz="0" w:space="0" w:color="auto"/>
        <w:left w:val="none" w:sz="0" w:space="0" w:color="auto"/>
        <w:bottom w:val="none" w:sz="0" w:space="0" w:color="auto"/>
        <w:right w:val="none" w:sz="0" w:space="0" w:color="auto"/>
      </w:divBdr>
    </w:div>
    <w:div w:id="1460420637">
      <w:bodyDiv w:val="1"/>
      <w:marLeft w:val="0"/>
      <w:marRight w:val="0"/>
      <w:marTop w:val="0"/>
      <w:marBottom w:val="0"/>
      <w:divBdr>
        <w:top w:val="none" w:sz="0" w:space="0" w:color="auto"/>
        <w:left w:val="none" w:sz="0" w:space="0" w:color="auto"/>
        <w:bottom w:val="none" w:sz="0" w:space="0" w:color="auto"/>
        <w:right w:val="none" w:sz="0" w:space="0" w:color="auto"/>
      </w:divBdr>
      <w:divsChild>
        <w:div w:id="195192630">
          <w:marLeft w:val="0"/>
          <w:marRight w:val="0"/>
          <w:marTop w:val="0"/>
          <w:marBottom w:val="0"/>
          <w:divBdr>
            <w:top w:val="none" w:sz="0" w:space="0" w:color="auto"/>
            <w:left w:val="none" w:sz="0" w:space="0" w:color="auto"/>
            <w:bottom w:val="none" w:sz="0" w:space="0" w:color="auto"/>
            <w:right w:val="none" w:sz="0" w:space="0" w:color="auto"/>
          </w:divBdr>
        </w:div>
        <w:div w:id="279608390">
          <w:marLeft w:val="0"/>
          <w:marRight w:val="0"/>
          <w:marTop w:val="0"/>
          <w:marBottom w:val="0"/>
          <w:divBdr>
            <w:top w:val="none" w:sz="0" w:space="0" w:color="auto"/>
            <w:left w:val="none" w:sz="0" w:space="0" w:color="auto"/>
            <w:bottom w:val="none" w:sz="0" w:space="0" w:color="auto"/>
            <w:right w:val="none" w:sz="0" w:space="0" w:color="auto"/>
          </w:divBdr>
        </w:div>
        <w:div w:id="357439285">
          <w:marLeft w:val="0"/>
          <w:marRight w:val="0"/>
          <w:marTop w:val="0"/>
          <w:marBottom w:val="0"/>
          <w:divBdr>
            <w:top w:val="none" w:sz="0" w:space="0" w:color="auto"/>
            <w:left w:val="none" w:sz="0" w:space="0" w:color="auto"/>
            <w:bottom w:val="none" w:sz="0" w:space="0" w:color="auto"/>
            <w:right w:val="none" w:sz="0" w:space="0" w:color="auto"/>
          </w:divBdr>
        </w:div>
        <w:div w:id="573246021">
          <w:marLeft w:val="0"/>
          <w:marRight w:val="0"/>
          <w:marTop w:val="0"/>
          <w:marBottom w:val="0"/>
          <w:divBdr>
            <w:top w:val="none" w:sz="0" w:space="0" w:color="auto"/>
            <w:left w:val="none" w:sz="0" w:space="0" w:color="auto"/>
            <w:bottom w:val="none" w:sz="0" w:space="0" w:color="auto"/>
            <w:right w:val="none" w:sz="0" w:space="0" w:color="auto"/>
          </w:divBdr>
        </w:div>
        <w:div w:id="595132826">
          <w:marLeft w:val="0"/>
          <w:marRight w:val="0"/>
          <w:marTop w:val="0"/>
          <w:marBottom w:val="0"/>
          <w:divBdr>
            <w:top w:val="none" w:sz="0" w:space="0" w:color="auto"/>
            <w:left w:val="none" w:sz="0" w:space="0" w:color="auto"/>
            <w:bottom w:val="none" w:sz="0" w:space="0" w:color="auto"/>
            <w:right w:val="none" w:sz="0" w:space="0" w:color="auto"/>
          </w:divBdr>
        </w:div>
        <w:div w:id="686752434">
          <w:marLeft w:val="0"/>
          <w:marRight w:val="0"/>
          <w:marTop w:val="0"/>
          <w:marBottom w:val="0"/>
          <w:divBdr>
            <w:top w:val="none" w:sz="0" w:space="0" w:color="auto"/>
            <w:left w:val="none" w:sz="0" w:space="0" w:color="auto"/>
            <w:bottom w:val="none" w:sz="0" w:space="0" w:color="auto"/>
            <w:right w:val="none" w:sz="0" w:space="0" w:color="auto"/>
          </w:divBdr>
        </w:div>
        <w:div w:id="1553033070">
          <w:marLeft w:val="0"/>
          <w:marRight w:val="0"/>
          <w:marTop w:val="0"/>
          <w:marBottom w:val="0"/>
          <w:divBdr>
            <w:top w:val="none" w:sz="0" w:space="0" w:color="auto"/>
            <w:left w:val="none" w:sz="0" w:space="0" w:color="auto"/>
            <w:bottom w:val="none" w:sz="0" w:space="0" w:color="auto"/>
            <w:right w:val="none" w:sz="0" w:space="0" w:color="auto"/>
          </w:divBdr>
        </w:div>
        <w:div w:id="1980959299">
          <w:marLeft w:val="0"/>
          <w:marRight w:val="0"/>
          <w:marTop w:val="0"/>
          <w:marBottom w:val="0"/>
          <w:divBdr>
            <w:top w:val="none" w:sz="0" w:space="0" w:color="auto"/>
            <w:left w:val="none" w:sz="0" w:space="0" w:color="auto"/>
            <w:bottom w:val="none" w:sz="0" w:space="0" w:color="auto"/>
            <w:right w:val="none" w:sz="0" w:space="0" w:color="auto"/>
          </w:divBdr>
        </w:div>
        <w:div w:id="2027828435">
          <w:marLeft w:val="0"/>
          <w:marRight w:val="0"/>
          <w:marTop w:val="0"/>
          <w:marBottom w:val="0"/>
          <w:divBdr>
            <w:top w:val="none" w:sz="0" w:space="0" w:color="auto"/>
            <w:left w:val="none" w:sz="0" w:space="0" w:color="auto"/>
            <w:bottom w:val="none" w:sz="0" w:space="0" w:color="auto"/>
            <w:right w:val="none" w:sz="0" w:space="0" w:color="auto"/>
          </w:divBdr>
        </w:div>
        <w:div w:id="2144763309">
          <w:marLeft w:val="0"/>
          <w:marRight w:val="0"/>
          <w:marTop w:val="0"/>
          <w:marBottom w:val="0"/>
          <w:divBdr>
            <w:top w:val="none" w:sz="0" w:space="0" w:color="auto"/>
            <w:left w:val="none" w:sz="0" w:space="0" w:color="auto"/>
            <w:bottom w:val="none" w:sz="0" w:space="0" w:color="auto"/>
            <w:right w:val="none" w:sz="0" w:space="0" w:color="auto"/>
          </w:divBdr>
        </w:div>
      </w:divsChild>
    </w:div>
    <w:div w:id="1499269925">
      <w:bodyDiv w:val="1"/>
      <w:marLeft w:val="0"/>
      <w:marRight w:val="0"/>
      <w:marTop w:val="0"/>
      <w:marBottom w:val="0"/>
      <w:divBdr>
        <w:top w:val="none" w:sz="0" w:space="0" w:color="auto"/>
        <w:left w:val="none" w:sz="0" w:space="0" w:color="auto"/>
        <w:bottom w:val="none" w:sz="0" w:space="0" w:color="auto"/>
        <w:right w:val="none" w:sz="0" w:space="0" w:color="auto"/>
      </w:divBdr>
    </w:div>
    <w:div w:id="1524243081">
      <w:bodyDiv w:val="1"/>
      <w:marLeft w:val="0"/>
      <w:marRight w:val="0"/>
      <w:marTop w:val="0"/>
      <w:marBottom w:val="0"/>
      <w:divBdr>
        <w:top w:val="none" w:sz="0" w:space="0" w:color="auto"/>
        <w:left w:val="none" w:sz="0" w:space="0" w:color="auto"/>
        <w:bottom w:val="none" w:sz="0" w:space="0" w:color="auto"/>
        <w:right w:val="none" w:sz="0" w:space="0" w:color="auto"/>
      </w:divBdr>
      <w:divsChild>
        <w:div w:id="405569093">
          <w:marLeft w:val="821"/>
          <w:marRight w:val="0"/>
          <w:marTop w:val="0"/>
          <w:marBottom w:val="0"/>
          <w:divBdr>
            <w:top w:val="none" w:sz="0" w:space="0" w:color="auto"/>
            <w:left w:val="none" w:sz="0" w:space="0" w:color="auto"/>
            <w:bottom w:val="none" w:sz="0" w:space="0" w:color="auto"/>
            <w:right w:val="none" w:sz="0" w:space="0" w:color="auto"/>
          </w:divBdr>
        </w:div>
        <w:div w:id="466820820">
          <w:marLeft w:val="1238"/>
          <w:marRight w:val="0"/>
          <w:marTop w:val="0"/>
          <w:marBottom w:val="0"/>
          <w:divBdr>
            <w:top w:val="none" w:sz="0" w:space="0" w:color="auto"/>
            <w:left w:val="none" w:sz="0" w:space="0" w:color="auto"/>
            <w:bottom w:val="none" w:sz="0" w:space="0" w:color="auto"/>
            <w:right w:val="none" w:sz="0" w:space="0" w:color="auto"/>
          </w:divBdr>
        </w:div>
        <w:div w:id="740251653">
          <w:marLeft w:val="274"/>
          <w:marRight w:val="0"/>
          <w:marTop w:val="120"/>
          <w:marBottom w:val="0"/>
          <w:divBdr>
            <w:top w:val="none" w:sz="0" w:space="0" w:color="auto"/>
            <w:left w:val="none" w:sz="0" w:space="0" w:color="auto"/>
            <w:bottom w:val="none" w:sz="0" w:space="0" w:color="auto"/>
            <w:right w:val="none" w:sz="0" w:space="0" w:color="auto"/>
          </w:divBdr>
        </w:div>
        <w:div w:id="1064643405">
          <w:marLeft w:val="1267"/>
          <w:marRight w:val="0"/>
          <w:marTop w:val="0"/>
          <w:marBottom w:val="120"/>
          <w:divBdr>
            <w:top w:val="none" w:sz="0" w:space="0" w:color="auto"/>
            <w:left w:val="none" w:sz="0" w:space="0" w:color="auto"/>
            <w:bottom w:val="none" w:sz="0" w:space="0" w:color="auto"/>
            <w:right w:val="none" w:sz="0" w:space="0" w:color="auto"/>
          </w:divBdr>
        </w:div>
        <w:div w:id="1310745716">
          <w:marLeft w:val="274"/>
          <w:marRight w:val="0"/>
          <w:marTop w:val="120"/>
          <w:marBottom w:val="120"/>
          <w:divBdr>
            <w:top w:val="none" w:sz="0" w:space="0" w:color="auto"/>
            <w:left w:val="none" w:sz="0" w:space="0" w:color="auto"/>
            <w:bottom w:val="none" w:sz="0" w:space="0" w:color="auto"/>
            <w:right w:val="none" w:sz="0" w:space="0" w:color="auto"/>
          </w:divBdr>
        </w:div>
        <w:div w:id="1353267733">
          <w:marLeft w:val="1238"/>
          <w:marRight w:val="0"/>
          <w:marTop w:val="0"/>
          <w:marBottom w:val="0"/>
          <w:divBdr>
            <w:top w:val="none" w:sz="0" w:space="0" w:color="auto"/>
            <w:left w:val="none" w:sz="0" w:space="0" w:color="auto"/>
            <w:bottom w:val="none" w:sz="0" w:space="0" w:color="auto"/>
            <w:right w:val="none" w:sz="0" w:space="0" w:color="auto"/>
          </w:divBdr>
        </w:div>
        <w:div w:id="1376461913">
          <w:marLeft w:val="821"/>
          <w:marRight w:val="0"/>
          <w:marTop w:val="0"/>
          <w:marBottom w:val="0"/>
          <w:divBdr>
            <w:top w:val="none" w:sz="0" w:space="0" w:color="auto"/>
            <w:left w:val="none" w:sz="0" w:space="0" w:color="auto"/>
            <w:bottom w:val="none" w:sz="0" w:space="0" w:color="auto"/>
            <w:right w:val="none" w:sz="0" w:space="0" w:color="auto"/>
          </w:divBdr>
        </w:div>
        <w:div w:id="1435326014">
          <w:marLeft w:val="821"/>
          <w:marRight w:val="0"/>
          <w:marTop w:val="0"/>
          <w:marBottom w:val="0"/>
          <w:divBdr>
            <w:top w:val="none" w:sz="0" w:space="0" w:color="auto"/>
            <w:left w:val="none" w:sz="0" w:space="0" w:color="auto"/>
            <w:bottom w:val="none" w:sz="0" w:space="0" w:color="auto"/>
            <w:right w:val="none" w:sz="0" w:space="0" w:color="auto"/>
          </w:divBdr>
        </w:div>
      </w:divsChild>
    </w:div>
    <w:div w:id="1526602151">
      <w:bodyDiv w:val="1"/>
      <w:marLeft w:val="0"/>
      <w:marRight w:val="0"/>
      <w:marTop w:val="0"/>
      <w:marBottom w:val="0"/>
      <w:divBdr>
        <w:top w:val="none" w:sz="0" w:space="0" w:color="auto"/>
        <w:left w:val="none" w:sz="0" w:space="0" w:color="auto"/>
        <w:bottom w:val="none" w:sz="0" w:space="0" w:color="auto"/>
        <w:right w:val="none" w:sz="0" w:space="0" w:color="auto"/>
      </w:divBdr>
    </w:div>
    <w:div w:id="1571817007">
      <w:bodyDiv w:val="1"/>
      <w:marLeft w:val="0"/>
      <w:marRight w:val="0"/>
      <w:marTop w:val="0"/>
      <w:marBottom w:val="0"/>
      <w:divBdr>
        <w:top w:val="none" w:sz="0" w:space="0" w:color="auto"/>
        <w:left w:val="none" w:sz="0" w:space="0" w:color="auto"/>
        <w:bottom w:val="none" w:sz="0" w:space="0" w:color="auto"/>
        <w:right w:val="none" w:sz="0" w:space="0" w:color="auto"/>
      </w:divBdr>
    </w:div>
    <w:div w:id="1581216320">
      <w:bodyDiv w:val="1"/>
      <w:marLeft w:val="0"/>
      <w:marRight w:val="0"/>
      <w:marTop w:val="0"/>
      <w:marBottom w:val="0"/>
      <w:divBdr>
        <w:top w:val="none" w:sz="0" w:space="0" w:color="auto"/>
        <w:left w:val="none" w:sz="0" w:space="0" w:color="auto"/>
        <w:bottom w:val="none" w:sz="0" w:space="0" w:color="auto"/>
        <w:right w:val="none" w:sz="0" w:space="0" w:color="auto"/>
      </w:divBdr>
      <w:divsChild>
        <w:div w:id="237399203">
          <w:marLeft w:val="480"/>
          <w:marRight w:val="0"/>
          <w:marTop w:val="0"/>
          <w:marBottom w:val="0"/>
          <w:divBdr>
            <w:top w:val="none" w:sz="0" w:space="0" w:color="auto"/>
            <w:left w:val="none" w:sz="0" w:space="0" w:color="auto"/>
            <w:bottom w:val="none" w:sz="0" w:space="0" w:color="auto"/>
            <w:right w:val="none" w:sz="0" w:space="0" w:color="auto"/>
          </w:divBdr>
          <w:divsChild>
            <w:div w:id="980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8788">
      <w:bodyDiv w:val="1"/>
      <w:marLeft w:val="0"/>
      <w:marRight w:val="0"/>
      <w:marTop w:val="0"/>
      <w:marBottom w:val="0"/>
      <w:divBdr>
        <w:top w:val="none" w:sz="0" w:space="0" w:color="auto"/>
        <w:left w:val="none" w:sz="0" w:space="0" w:color="auto"/>
        <w:bottom w:val="none" w:sz="0" w:space="0" w:color="auto"/>
        <w:right w:val="none" w:sz="0" w:space="0" w:color="auto"/>
      </w:divBdr>
    </w:div>
    <w:div w:id="1601569152">
      <w:bodyDiv w:val="1"/>
      <w:marLeft w:val="0"/>
      <w:marRight w:val="0"/>
      <w:marTop w:val="0"/>
      <w:marBottom w:val="0"/>
      <w:divBdr>
        <w:top w:val="none" w:sz="0" w:space="0" w:color="auto"/>
        <w:left w:val="none" w:sz="0" w:space="0" w:color="auto"/>
        <w:bottom w:val="none" w:sz="0" w:space="0" w:color="auto"/>
        <w:right w:val="none" w:sz="0" w:space="0" w:color="auto"/>
      </w:divBdr>
    </w:div>
    <w:div w:id="1643997458">
      <w:bodyDiv w:val="1"/>
      <w:marLeft w:val="0"/>
      <w:marRight w:val="0"/>
      <w:marTop w:val="0"/>
      <w:marBottom w:val="0"/>
      <w:divBdr>
        <w:top w:val="none" w:sz="0" w:space="0" w:color="auto"/>
        <w:left w:val="none" w:sz="0" w:space="0" w:color="auto"/>
        <w:bottom w:val="none" w:sz="0" w:space="0" w:color="auto"/>
        <w:right w:val="none" w:sz="0" w:space="0" w:color="auto"/>
      </w:divBdr>
    </w:div>
    <w:div w:id="1708413351">
      <w:bodyDiv w:val="1"/>
      <w:marLeft w:val="0"/>
      <w:marRight w:val="0"/>
      <w:marTop w:val="0"/>
      <w:marBottom w:val="0"/>
      <w:divBdr>
        <w:top w:val="none" w:sz="0" w:space="0" w:color="auto"/>
        <w:left w:val="none" w:sz="0" w:space="0" w:color="auto"/>
        <w:bottom w:val="none" w:sz="0" w:space="0" w:color="auto"/>
        <w:right w:val="none" w:sz="0" w:space="0" w:color="auto"/>
      </w:divBdr>
      <w:divsChild>
        <w:div w:id="49573955">
          <w:marLeft w:val="0"/>
          <w:marRight w:val="0"/>
          <w:marTop w:val="0"/>
          <w:marBottom w:val="0"/>
          <w:divBdr>
            <w:top w:val="none" w:sz="0" w:space="0" w:color="auto"/>
            <w:left w:val="none" w:sz="0" w:space="0" w:color="auto"/>
            <w:bottom w:val="none" w:sz="0" w:space="0" w:color="auto"/>
            <w:right w:val="none" w:sz="0" w:space="0" w:color="auto"/>
          </w:divBdr>
        </w:div>
        <w:div w:id="110562273">
          <w:marLeft w:val="0"/>
          <w:marRight w:val="0"/>
          <w:marTop w:val="0"/>
          <w:marBottom w:val="0"/>
          <w:divBdr>
            <w:top w:val="none" w:sz="0" w:space="0" w:color="auto"/>
            <w:left w:val="none" w:sz="0" w:space="0" w:color="auto"/>
            <w:bottom w:val="none" w:sz="0" w:space="0" w:color="auto"/>
            <w:right w:val="none" w:sz="0" w:space="0" w:color="auto"/>
          </w:divBdr>
        </w:div>
        <w:div w:id="147676773">
          <w:marLeft w:val="0"/>
          <w:marRight w:val="0"/>
          <w:marTop w:val="0"/>
          <w:marBottom w:val="0"/>
          <w:divBdr>
            <w:top w:val="none" w:sz="0" w:space="0" w:color="auto"/>
            <w:left w:val="none" w:sz="0" w:space="0" w:color="auto"/>
            <w:bottom w:val="none" w:sz="0" w:space="0" w:color="auto"/>
            <w:right w:val="none" w:sz="0" w:space="0" w:color="auto"/>
          </w:divBdr>
        </w:div>
        <w:div w:id="738673672">
          <w:marLeft w:val="0"/>
          <w:marRight w:val="0"/>
          <w:marTop w:val="0"/>
          <w:marBottom w:val="0"/>
          <w:divBdr>
            <w:top w:val="none" w:sz="0" w:space="0" w:color="auto"/>
            <w:left w:val="none" w:sz="0" w:space="0" w:color="auto"/>
            <w:bottom w:val="none" w:sz="0" w:space="0" w:color="auto"/>
            <w:right w:val="none" w:sz="0" w:space="0" w:color="auto"/>
          </w:divBdr>
        </w:div>
        <w:div w:id="1028221795">
          <w:marLeft w:val="0"/>
          <w:marRight w:val="0"/>
          <w:marTop w:val="0"/>
          <w:marBottom w:val="0"/>
          <w:divBdr>
            <w:top w:val="none" w:sz="0" w:space="0" w:color="auto"/>
            <w:left w:val="none" w:sz="0" w:space="0" w:color="auto"/>
            <w:bottom w:val="none" w:sz="0" w:space="0" w:color="auto"/>
            <w:right w:val="none" w:sz="0" w:space="0" w:color="auto"/>
          </w:divBdr>
        </w:div>
        <w:div w:id="1113671963">
          <w:marLeft w:val="0"/>
          <w:marRight w:val="0"/>
          <w:marTop w:val="0"/>
          <w:marBottom w:val="0"/>
          <w:divBdr>
            <w:top w:val="none" w:sz="0" w:space="0" w:color="auto"/>
            <w:left w:val="none" w:sz="0" w:space="0" w:color="auto"/>
            <w:bottom w:val="none" w:sz="0" w:space="0" w:color="auto"/>
            <w:right w:val="none" w:sz="0" w:space="0" w:color="auto"/>
          </w:divBdr>
        </w:div>
        <w:div w:id="1176918241">
          <w:marLeft w:val="0"/>
          <w:marRight w:val="0"/>
          <w:marTop w:val="0"/>
          <w:marBottom w:val="0"/>
          <w:divBdr>
            <w:top w:val="none" w:sz="0" w:space="0" w:color="auto"/>
            <w:left w:val="none" w:sz="0" w:space="0" w:color="auto"/>
            <w:bottom w:val="none" w:sz="0" w:space="0" w:color="auto"/>
            <w:right w:val="none" w:sz="0" w:space="0" w:color="auto"/>
          </w:divBdr>
        </w:div>
        <w:div w:id="1275484092">
          <w:marLeft w:val="0"/>
          <w:marRight w:val="0"/>
          <w:marTop w:val="0"/>
          <w:marBottom w:val="0"/>
          <w:divBdr>
            <w:top w:val="none" w:sz="0" w:space="0" w:color="auto"/>
            <w:left w:val="none" w:sz="0" w:space="0" w:color="auto"/>
            <w:bottom w:val="none" w:sz="0" w:space="0" w:color="auto"/>
            <w:right w:val="none" w:sz="0" w:space="0" w:color="auto"/>
          </w:divBdr>
        </w:div>
        <w:div w:id="1455753934">
          <w:marLeft w:val="0"/>
          <w:marRight w:val="0"/>
          <w:marTop w:val="0"/>
          <w:marBottom w:val="0"/>
          <w:divBdr>
            <w:top w:val="none" w:sz="0" w:space="0" w:color="auto"/>
            <w:left w:val="none" w:sz="0" w:space="0" w:color="auto"/>
            <w:bottom w:val="none" w:sz="0" w:space="0" w:color="auto"/>
            <w:right w:val="none" w:sz="0" w:space="0" w:color="auto"/>
          </w:divBdr>
        </w:div>
        <w:div w:id="1941181256">
          <w:marLeft w:val="0"/>
          <w:marRight w:val="0"/>
          <w:marTop w:val="0"/>
          <w:marBottom w:val="0"/>
          <w:divBdr>
            <w:top w:val="none" w:sz="0" w:space="0" w:color="auto"/>
            <w:left w:val="none" w:sz="0" w:space="0" w:color="auto"/>
            <w:bottom w:val="none" w:sz="0" w:space="0" w:color="auto"/>
            <w:right w:val="none" w:sz="0" w:space="0" w:color="auto"/>
          </w:divBdr>
        </w:div>
        <w:div w:id="2138837937">
          <w:marLeft w:val="0"/>
          <w:marRight w:val="0"/>
          <w:marTop w:val="0"/>
          <w:marBottom w:val="0"/>
          <w:divBdr>
            <w:top w:val="none" w:sz="0" w:space="0" w:color="auto"/>
            <w:left w:val="none" w:sz="0" w:space="0" w:color="auto"/>
            <w:bottom w:val="none" w:sz="0" w:space="0" w:color="auto"/>
            <w:right w:val="none" w:sz="0" w:space="0" w:color="auto"/>
          </w:divBdr>
        </w:div>
      </w:divsChild>
    </w:div>
    <w:div w:id="1741713990">
      <w:bodyDiv w:val="1"/>
      <w:marLeft w:val="0"/>
      <w:marRight w:val="0"/>
      <w:marTop w:val="0"/>
      <w:marBottom w:val="0"/>
      <w:divBdr>
        <w:top w:val="none" w:sz="0" w:space="0" w:color="auto"/>
        <w:left w:val="none" w:sz="0" w:space="0" w:color="auto"/>
        <w:bottom w:val="none" w:sz="0" w:space="0" w:color="auto"/>
        <w:right w:val="none" w:sz="0" w:space="0" w:color="auto"/>
      </w:divBdr>
    </w:div>
    <w:div w:id="1776827412">
      <w:bodyDiv w:val="1"/>
      <w:marLeft w:val="0"/>
      <w:marRight w:val="0"/>
      <w:marTop w:val="0"/>
      <w:marBottom w:val="0"/>
      <w:divBdr>
        <w:top w:val="none" w:sz="0" w:space="0" w:color="auto"/>
        <w:left w:val="none" w:sz="0" w:space="0" w:color="auto"/>
        <w:bottom w:val="none" w:sz="0" w:space="0" w:color="auto"/>
        <w:right w:val="none" w:sz="0" w:space="0" w:color="auto"/>
      </w:divBdr>
    </w:div>
    <w:div w:id="1793743077">
      <w:bodyDiv w:val="1"/>
      <w:marLeft w:val="0"/>
      <w:marRight w:val="0"/>
      <w:marTop w:val="0"/>
      <w:marBottom w:val="0"/>
      <w:divBdr>
        <w:top w:val="none" w:sz="0" w:space="0" w:color="auto"/>
        <w:left w:val="none" w:sz="0" w:space="0" w:color="auto"/>
        <w:bottom w:val="none" w:sz="0" w:space="0" w:color="auto"/>
        <w:right w:val="none" w:sz="0" w:space="0" w:color="auto"/>
      </w:divBdr>
    </w:div>
    <w:div w:id="1895117432">
      <w:bodyDiv w:val="1"/>
      <w:marLeft w:val="0"/>
      <w:marRight w:val="0"/>
      <w:marTop w:val="0"/>
      <w:marBottom w:val="0"/>
      <w:divBdr>
        <w:top w:val="none" w:sz="0" w:space="0" w:color="auto"/>
        <w:left w:val="none" w:sz="0" w:space="0" w:color="auto"/>
        <w:bottom w:val="none" w:sz="0" w:space="0" w:color="auto"/>
        <w:right w:val="none" w:sz="0" w:space="0" w:color="auto"/>
      </w:divBdr>
    </w:div>
    <w:div w:id="1904564996">
      <w:bodyDiv w:val="1"/>
      <w:marLeft w:val="0"/>
      <w:marRight w:val="0"/>
      <w:marTop w:val="0"/>
      <w:marBottom w:val="0"/>
      <w:divBdr>
        <w:top w:val="none" w:sz="0" w:space="0" w:color="auto"/>
        <w:left w:val="none" w:sz="0" w:space="0" w:color="auto"/>
        <w:bottom w:val="none" w:sz="0" w:space="0" w:color="auto"/>
        <w:right w:val="none" w:sz="0" w:space="0" w:color="auto"/>
      </w:divBdr>
    </w:div>
    <w:div w:id="1909261586">
      <w:bodyDiv w:val="1"/>
      <w:marLeft w:val="0"/>
      <w:marRight w:val="0"/>
      <w:marTop w:val="0"/>
      <w:marBottom w:val="0"/>
      <w:divBdr>
        <w:top w:val="none" w:sz="0" w:space="0" w:color="auto"/>
        <w:left w:val="none" w:sz="0" w:space="0" w:color="auto"/>
        <w:bottom w:val="none" w:sz="0" w:space="0" w:color="auto"/>
        <w:right w:val="none" w:sz="0" w:space="0" w:color="auto"/>
      </w:divBdr>
    </w:div>
    <w:div w:id="2006082500">
      <w:bodyDiv w:val="1"/>
      <w:marLeft w:val="0"/>
      <w:marRight w:val="0"/>
      <w:marTop w:val="0"/>
      <w:marBottom w:val="0"/>
      <w:divBdr>
        <w:top w:val="none" w:sz="0" w:space="0" w:color="auto"/>
        <w:left w:val="none" w:sz="0" w:space="0" w:color="auto"/>
        <w:bottom w:val="none" w:sz="0" w:space="0" w:color="auto"/>
        <w:right w:val="none" w:sz="0" w:space="0" w:color="auto"/>
      </w:divBdr>
      <w:divsChild>
        <w:div w:id="1610551107">
          <w:marLeft w:val="0"/>
          <w:marRight w:val="0"/>
          <w:marTop w:val="0"/>
          <w:marBottom w:val="0"/>
          <w:divBdr>
            <w:top w:val="none" w:sz="0" w:space="0" w:color="auto"/>
            <w:left w:val="none" w:sz="0" w:space="0" w:color="auto"/>
            <w:bottom w:val="none" w:sz="0" w:space="0" w:color="auto"/>
            <w:right w:val="none" w:sz="0" w:space="0" w:color="auto"/>
          </w:divBdr>
          <w:divsChild>
            <w:div w:id="103623532">
              <w:marLeft w:val="0"/>
              <w:marRight w:val="0"/>
              <w:marTop w:val="0"/>
              <w:marBottom w:val="0"/>
              <w:divBdr>
                <w:top w:val="none" w:sz="0" w:space="0" w:color="auto"/>
                <w:left w:val="none" w:sz="0" w:space="0" w:color="auto"/>
                <w:bottom w:val="none" w:sz="0" w:space="0" w:color="auto"/>
                <w:right w:val="none" w:sz="0" w:space="0" w:color="auto"/>
              </w:divBdr>
              <w:divsChild>
                <w:div w:id="607010046">
                  <w:marLeft w:val="0"/>
                  <w:marRight w:val="0"/>
                  <w:marTop w:val="0"/>
                  <w:marBottom w:val="0"/>
                  <w:divBdr>
                    <w:top w:val="none" w:sz="0" w:space="0" w:color="auto"/>
                    <w:left w:val="none" w:sz="0" w:space="0" w:color="auto"/>
                    <w:bottom w:val="none" w:sz="0" w:space="0" w:color="auto"/>
                    <w:right w:val="none" w:sz="0" w:space="0" w:color="auto"/>
                  </w:divBdr>
                  <w:divsChild>
                    <w:div w:id="360009371">
                      <w:marLeft w:val="0"/>
                      <w:marRight w:val="0"/>
                      <w:marTop w:val="0"/>
                      <w:marBottom w:val="0"/>
                      <w:divBdr>
                        <w:top w:val="none" w:sz="0" w:space="0" w:color="auto"/>
                        <w:left w:val="none" w:sz="0" w:space="0" w:color="auto"/>
                        <w:bottom w:val="none" w:sz="0" w:space="0" w:color="auto"/>
                        <w:right w:val="none" w:sz="0" w:space="0" w:color="auto"/>
                      </w:divBdr>
                    </w:div>
                  </w:divsChild>
                </w:div>
                <w:div w:id="1649742433">
                  <w:marLeft w:val="0"/>
                  <w:marRight w:val="0"/>
                  <w:marTop w:val="0"/>
                  <w:marBottom w:val="0"/>
                  <w:divBdr>
                    <w:top w:val="none" w:sz="0" w:space="0" w:color="auto"/>
                    <w:left w:val="none" w:sz="0" w:space="0" w:color="auto"/>
                    <w:bottom w:val="none" w:sz="0" w:space="0" w:color="auto"/>
                    <w:right w:val="none" w:sz="0" w:space="0" w:color="auto"/>
                  </w:divBdr>
                  <w:divsChild>
                    <w:div w:id="278488751">
                      <w:marLeft w:val="0"/>
                      <w:marRight w:val="0"/>
                      <w:marTop w:val="0"/>
                      <w:marBottom w:val="0"/>
                      <w:divBdr>
                        <w:top w:val="none" w:sz="0" w:space="0" w:color="auto"/>
                        <w:left w:val="none" w:sz="0" w:space="0" w:color="auto"/>
                        <w:bottom w:val="none" w:sz="0" w:space="0" w:color="auto"/>
                        <w:right w:val="none" w:sz="0" w:space="0" w:color="auto"/>
                      </w:divBdr>
                      <w:divsChild>
                        <w:div w:id="1651132631">
                          <w:marLeft w:val="0"/>
                          <w:marRight w:val="0"/>
                          <w:marTop w:val="0"/>
                          <w:marBottom w:val="0"/>
                          <w:divBdr>
                            <w:top w:val="none" w:sz="0" w:space="0" w:color="auto"/>
                            <w:left w:val="none" w:sz="0" w:space="0" w:color="auto"/>
                            <w:bottom w:val="none" w:sz="0" w:space="0" w:color="auto"/>
                            <w:right w:val="none" w:sz="0" w:space="0" w:color="auto"/>
                          </w:divBdr>
                          <w:divsChild>
                            <w:div w:id="124927997">
                              <w:marLeft w:val="0"/>
                              <w:marRight w:val="0"/>
                              <w:marTop w:val="0"/>
                              <w:marBottom w:val="0"/>
                              <w:divBdr>
                                <w:top w:val="none" w:sz="0" w:space="0" w:color="auto"/>
                                <w:left w:val="none" w:sz="0" w:space="0" w:color="auto"/>
                                <w:bottom w:val="none" w:sz="0" w:space="0" w:color="auto"/>
                                <w:right w:val="none" w:sz="0" w:space="0" w:color="auto"/>
                              </w:divBdr>
                              <w:divsChild>
                                <w:div w:id="2100052823">
                                  <w:marLeft w:val="0"/>
                                  <w:marRight w:val="0"/>
                                  <w:marTop w:val="0"/>
                                  <w:marBottom w:val="0"/>
                                  <w:divBdr>
                                    <w:top w:val="none" w:sz="0" w:space="0" w:color="auto"/>
                                    <w:left w:val="none" w:sz="0" w:space="0" w:color="auto"/>
                                    <w:bottom w:val="none" w:sz="0" w:space="0" w:color="auto"/>
                                    <w:right w:val="none" w:sz="0" w:space="0" w:color="auto"/>
                                  </w:divBdr>
                                  <w:divsChild>
                                    <w:div w:id="548104946">
                                      <w:marLeft w:val="0"/>
                                      <w:marRight w:val="0"/>
                                      <w:marTop w:val="0"/>
                                      <w:marBottom w:val="0"/>
                                      <w:divBdr>
                                        <w:top w:val="none" w:sz="0" w:space="0" w:color="auto"/>
                                        <w:left w:val="none" w:sz="0" w:space="0" w:color="auto"/>
                                        <w:bottom w:val="none" w:sz="0" w:space="0" w:color="auto"/>
                                        <w:right w:val="none" w:sz="0" w:space="0" w:color="auto"/>
                                      </w:divBdr>
                                      <w:divsChild>
                                        <w:div w:id="688798220">
                                          <w:marLeft w:val="0"/>
                                          <w:marRight w:val="0"/>
                                          <w:marTop w:val="0"/>
                                          <w:marBottom w:val="0"/>
                                          <w:divBdr>
                                            <w:top w:val="none" w:sz="0" w:space="0" w:color="auto"/>
                                            <w:left w:val="none" w:sz="0" w:space="0" w:color="auto"/>
                                            <w:bottom w:val="none" w:sz="0" w:space="0" w:color="auto"/>
                                            <w:right w:val="none" w:sz="0" w:space="0" w:color="auto"/>
                                          </w:divBdr>
                                          <w:divsChild>
                                            <w:div w:id="127942114">
                                              <w:marLeft w:val="0"/>
                                              <w:marRight w:val="360"/>
                                              <w:marTop w:val="0"/>
                                              <w:marBottom w:val="0"/>
                                              <w:divBdr>
                                                <w:top w:val="none" w:sz="0" w:space="0" w:color="auto"/>
                                                <w:left w:val="none" w:sz="0" w:space="0" w:color="auto"/>
                                                <w:bottom w:val="none" w:sz="0" w:space="0" w:color="auto"/>
                                                <w:right w:val="none" w:sz="0" w:space="0" w:color="auto"/>
                                              </w:divBdr>
                                            </w:div>
                                          </w:divsChild>
                                        </w:div>
                                        <w:div w:id="1064834791">
                                          <w:marLeft w:val="0"/>
                                          <w:marRight w:val="360"/>
                                          <w:marTop w:val="0"/>
                                          <w:marBottom w:val="0"/>
                                          <w:divBdr>
                                            <w:top w:val="none" w:sz="0" w:space="0" w:color="auto"/>
                                            <w:left w:val="none" w:sz="0" w:space="0" w:color="auto"/>
                                            <w:bottom w:val="none" w:sz="0" w:space="0" w:color="auto"/>
                                            <w:right w:val="none" w:sz="0" w:space="0" w:color="auto"/>
                                          </w:divBdr>
                                        </w:div>
                                        <w:div w:id="1764061220">
                                          <w:marLeft w:val="0"/>
                                          <w:marRight w:val="0"/>
                                          <w:marTop w:val="0"/>
                                          <w:marBottom w:val="0"/>
                                          <w:divBdr>
                                            <w:top w:val="none" w:sz="0" w:space="0" w:color="auto"/>
                                            <w:left w:val="none" w:sz="0" w:space="0" w:color="auto"/>
                                            <w:bottom w:val="none" w:sz="0" w:space="0" w:color="auto"/>
                                            <w:right w:val="none" w:sz="0" w:space="0" w:color="auto"/>
                                          </w:divBdr>
                                          <w:divsChild>
                                            <w:div w:id="1826775520">
                                              <w:marLeft w:val="0"/>
                                              <w:marRight w:val="360"/>
                                              <w:marTop w:val="0"/>
                                              <w:marBottom w:val="0"/>
                                              <w:divBdr>
                                                <w:top w:val="none" w:sz="0" w:space="0" w:color="auto"/>
                                                <w:left w:val="none" w:sz="0" w:space="0" w:color="auto"/>
                                                <w:bottom w:val="none" w:sz="0" w:space="0" w:color="auto"/>
                                                <w:right w:val="none" w:sz="0" w:space="0" w:color="auto"/>
                                              </w:divBdr>
                                            </w:div>
                                          </w:divsChild>
                                        </w:div>
                                        <w:div w:id="2089840765">
                                          <w:marLeft w:val="0"/>
                                          <w:marRight w:val="0"/>
                                          <w:marTop w:val="0"/>
                                          <w:marBottom w:val="0"/>
                                          <w:divBdr>
                                            <w:top w:val="none" w:sz="0" w:space="0" w:color="auto"/>
                                            <w:left w:val="none" w:sz="0" w:space="0" w:color="auto"/>
                                            <w:bottom w:val="none" w:sz="0" w:space="0" w:color="auto"/>
                                            <w:right w:val="none" w:sz="0" w:space="0" w:color="auto"/>
                                          </w:divBdr>
                                          <w:divsChild>
                                            <w:div w:id="210884783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9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33671BD68A9409251AACB91591249" ma:contentTypeVersion="0" ma:contentTypeDescription="Create a new document." ma:contentTypeScope="" ma:versionID="3530a947bdf54af59b0a3f8101fa973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Bec18</b:Tag>
    <b:SourceType>DocumentFromInternetSite</b:SourceType>
    <b:Guid>{3EFB6F1D-AE72-46EA-ADAF-965269E61AEF}</b:Guid>
    <b:Title>The Conversation</b:Title>
    <b:Year>2018</b:Year>
    <b:Author>
      <b:Author>
        <b:NameList>
          <b:Person>
            <b:Last>Beckham</b:Last>
            <b:First>Eric</b:First>
          </b:Person>
        </b:NameList>
      </b:Author>
    </b:Author>
    <b:InternetSiteTitle>The world of plastic, in numbers </b:InternetSiteTitle>
    <b:Month>August </b:Month>
    <b:Day>9</b:Day>
    <b:URL>https://theconversation.com/the-world-of-plastics-in-numbers-100291</b:URL>
    <b:RefOrder>1</b:RefOrder>
  </b:Source>
  <b:Source>
    <b:Tag>Law15</b:Tag>
    <b:SourceType>JournalArticle</b:SourceType>
    <b:Guid>{ABA5E98A-83AC-4F78-A9CC-B82B6EB808FC}</b:Guid>
    <b:Author>
      <b:Author>
        <b:NameList>
          <b:Person>
            <b:Last>Jambeck</b:Last>
            <b:First>J.</b:First>
          </b:Person>
          <b:Person>
            <b:Last>Geyer</b:Last>
            <b:First>R.</b:First>
          </b:Person>
          <b:Person>
            <b:Last>Wilcox</b:Last>
            <b:First>C.</b:First>
          </b:Person>
          <b:Person>
            <b:Last>Siegler</b:Last>
            <b:First>T.</b:First>
          </b:Person>
          <b:Person>
            <b:Last>Perryman</b:Last>
            <b:First>M.</b:First>
          </b:Person>
          <b:Person>
            <b:Last>Andrady</b:Last>
            <b:First>A.</b:First>
          </b:Person>
          <b:Person>
            <b:Last>Narayan</b:Last>
            <b:First>R.</b:First>
          </b:Person>
          <b:Person>
            <b:Last>Law</b:Last>
            <b:First>K.</b:First>
            <b:Middle>L.</b:Middle>
          </b:Person>
        </b:NameList>
      </b:Author>
    </b:Author>
    <b:Title>Plastic Accumulation in the Ocean</b:Title>
    <b:JournalName>Science</b:JournalName>
    <b:Year>2015</b:Year>
    <b:Pages>768-771</b:Pages>
    <b:Volume>347</b:Volume>
    <b:RefOrder>2</b:RefOrder>
  </b:Source>
  <b:Source>
    <b:Tag>Law10</b:Tag>
    <b:SourceType>JournalArticle</b:SourceType>
    <b:Guid>{2538B7D0-1934-4115-AAC7-2B4F9918BEC9}</b:Guid>
    <b:Author>
      <b:Author>
        <b:NameList>
          <b:Person>
            <b:Last>Law</b:Last>
            <b:First>K.</b:First>
            <b:Middle>L.</b:Middle>
          </b:Person>
          <b:Person>
            <b:Last>Moret-Ferguson</b:Last>
            <b:First>S.</b:First>
          </b:Person>
          <b:Person>
            <b:Last>Maximenko</b:Last>
            <b:First>N.</b:First>
          </b:Person>
          <b:Person>
            <b:Last>Proskurowski</b:Last>
            <b:First>G.</b:First>
          </b:Person>
          <b:Person>
            <b:Last>Peacock</b:Last>
            <b:First>E.</b:First>
          </b:Person>
          <b:Person>
            <b:Last>Hafner</b:Last>
            <b:First>J.</b:First>
          </b:Person>
          <b:Person>
            <b:Last>Reddy</b:Last>
            <b:First>C.</b:First>
          </b:Person>
        </b:NameList>
      </b:Author>
    </b:Author>
    <b:Title>Plastic Accumulation in the North Atlantic Subtropical Gyre</b:Title>
    <b:JournalName>Science</b:JournalName>
    <b:Year>2010</b:Year>
    <b:Pages>1185−</b:Pages>
    <b:Volume>329</b:Volume>
    <b:RefOrder>3</b:RefOrder>
  </b:Source>
  <b:Source>
    <b:Tag>USE162</b:Tag>
    <b:SourceType>Report</b:SourceType>
    <b:Guid>{13F994DD-3D45-4BD8-B780-2ACEEFDF3354}</b:Guid>
    <b:Author>
      <b:Author>
        <b:Corporate>US EPA </b:Corporate>
      </b:Author>
    </b:Author>
    <b:Title>Advancing Sustainable Materials Management: 2014 Tables abd Figures </b:Title>
    <b:Year>2016</b:Year>
    <b:Publisher>United States Environmental Protection Agency </b:Publisher>
    <b:RefOrder>4</b:RefOrder>
  </b:Source>
  <b:Source>
    <b:Tag>Lip18</b:Tag>
    <b:SourceType>DocumentFromInternetSite</b:SourceType>
    <b:Guid>{41874957-A285-47A4-94CC-DFFC8EB52A30}</b:Guid>
    <b:Title>Neste, ReNew ELP and Licella to collaborate in utilization of waste plastic as a raw material</b:Title>
    <b:Year>2018</b:Year>
    <b:InternetSiteTitle>Neste</b:InternetSiteTitle>
    <b:Month>August</b:Month>
    <b:Day>16</b:Day>
    <b:URL>https://www.neste.com/releases-and-news/neste-renew-elp-and-licella-collaborate-utilization-waste-plastic-raw-material</b:URL>
    <b:Author>
      <b:Author>
        <b:NameList>
          <b:Person>
            <b:Last>Lipponen </b:Last>
            <b:First>kaisa</b:First>
          </b:Person>
          <b:Person>
            <b:Last>Farkkila </b:Last>
            <b:First>Heikki</b:First>
          </b:Person>
          <b:Person>
            <b:Last>Buchanan</b:Last>
            <b:First>Andrew</b:First>
          </b:Person>
          <b:Person>
            <b:Last>Polson</b:Last>
            <b:First>Andrea</b:First>
          </b:Person>
        </b:NameList>
      </b:Author>
    </b:Author>
    <b:RefOrder>5</b:RefOrder>
  </b:Source>
  <b:Source>
    <b:Tag>RTI12</b:Tag>
    <b:SourceType>Report</b:SourceType>
    <b:Guid>{1A87EFDC-F82D-4C80-A728-99E705179F8B}</b:Guid>
    <b:Title>Environmental and Economic Analysis of Emerging Plastic Conversion Technologies</b:Title>
    <b:Year>2012</b:Year>
    <b:Author>
      <b:Author>
        <b:Corporate>RTI International</b:Corporate>
      </b:Author>
    </b:Author>
    <b:Publisher>American Chemistry Council</b:Publisher>
    <b:City>Washington DC</b:City>
    <b:RefOrder>6</b:RefOrder>
  </b:Source>
  <b:Source>
    <b:Tag>Oce151</b:Tag>
    <b:SourceType>Report</b:SourceType>
    <b:Guid>{F6CFE455-8459-4AD9-A75E-BF59D8F07ADE}</b:Guid>
    <b:Author>
      <b:Author>
        <b:Corporate>Ocean Recovery Alliance</b:Corporate>
      </b:Author>
    </b:Author>
    <b:Title>Plastic-to-fuel project developer’s guide</b:Title>
    <b:Year>2015</b:Year>
    <b:Publisher>Ocean REcovery Alliance &amp; American Chemistry Council</b:Publisher>
    <b:City>Hong Kong</b:City>
    <b:RefOrder>7</b:RefOrder>
  </b:Source>
  <b:Source>
    <b:Tag>Ros</b:Tag>
    <b:SourceType>JournalArticle</b:SourceType>
    <b:Guid>{2E6752F0-126E-436D-BC75-A671CDFA7BC1}</b:Guid>
    <b:Title>Catalysis for Conversion of Biomass to Fuels Via Pyrolysis and Gasificaton</b:Title>
    <b:Author>
      <b:Author>
        <b:NameList>
          <b:Person>
            <b:Last>Dmitri</b:Last>
            <b:First>B</b:First>
          </b:Person>
          <b:Person>
            <b:Last>Ross</b:Last>
            <b:First>J</b:First>
          </b:Person>
        </b:NameList>
      </b:Author>
    </b:Author>
    <b:JournalName>Catalyst Today</b:JournalName>
    <b:Year>2011</b:Year>
    <b:Pages>1-13</b:Pages>
    <b:Volume>171</b:Volume>
    <b:RefOrder>8</b:RefOrder>
  </b:Source>
  <b:Source>
    <b:Tag>Che18</b:Tag>
    <b:SourceType>JournalArticle</b:SourceType>
    <b:Guid>{D0AD3E41-87A4-477B-8119-981A5C7A70F2}</b:Guid>
    <b:Title>Use of Supercritical Water for the Liquefaction of Polypropylene into Oil</b:Title>
    <b:JournalName>ACS Sustainable Chem. Eng.</b:JournalName>
    <b:Year>2018</b:Year>
    <b:Author>
      <b:Author>
        <b:NameList>
          <b:Person>
            <b:Last>Chen</b:Last>
            <b:First>Wan-Ting</b:First>
          </b:Person>
          <b:Person>
            <b:Last>Jin</b:Last>
            <b:First>Kai</b:First>
          </b:Person>
          <b:Person>
            <b:Last>Hwa</b:Last>
            <b:First>Nien</b:First>
          </b:Person>
          <b:Person>
            <b:Last>Wang</b:Last>
            <b:First>Linda</b:First>
          </b:Person>
        </b:NameList>
      </b:Author>
    </b:Author>
    <b:DOI>DOI: 10.1021/acssuschemeng.8b03841</b:DOI>
    <b:RefOrder>9</b:RefOrder>
  </b:Source>
  <b:Source>
    <b:Tag>Ben17</b:Tag>
    <b:SourceType>JournalArticle</b:SourceType>
    <b:Guid>{4774B58A-6C7F-4D00-B2C7-8E4F68545458}</b:Guid>
    <b:Title>Life-cycle analysis of Fuels from post-use non-recycled plastic</b:Title>
    <b:Year>2017</b:Year>
    <b:Author>
      <b:Author>
        <b:NameList>
          <b:Person>
            <b:Last>Benavides</b:Last>
            <b:First>P. Thathiana </b:First>
          </b:Person>
          <b:Person>
            <b:Last>Sun</b:Last>
            <b:First>Pingping</b:First>
          </b:Person>
          <b:Person>
            <b:Last>Han</b:Last>
            <b:First>Jeongwoo</b:First>
          </b:Person>
          <b:Person>
            <b:Last>Dunn</b:Last>
            <b:First>Jennifer B</b:First>
          </b:Person>
          <b:Person>
            <b:Last>Wang</b:Last>
            <b:First>Michael</b:First>
          </b:Person>
        </b:NameList>
      </b:Author>
    </b:Author>
    <b:JournalName>Fuel</b:JournalName>
    <b:Pages>11-22</b:Pages>
    <b:Volume>203</b:Volume>
    <b:RefOrder>10</b:RefOrder>
  </b:Source>
</b:Sources>
</file>

<file path=customXml/itemProps1.xml><?xml version="1.0" encoding="utf-8"?>
<ds:datastoreItem xmlns:ds="http://schemas.openxmlformats.org/officeDocument/2006/customXml" ds:itemID="{6125ADAE-B0C4-4C74-B891-34C38773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9FBB69-052C-4AC6-B6C7-516E2B2420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29E74-D381-4F27-BC4C-466FC8E9635B}">
  <ds:schemaRefs>
    <ds:schemaRef ds:uri="http://schemas.microsoft.com/sharepoint/v3/contenttype/forms"/>
  </ds:schemaRefs>
</ds:datastoreItem>
</file>

<file path=customXml/itemProps4.xml><?xml version="1.0" encoding="utf-8"?>
<ds:datastoreItem xmlns:ds="http://schemas.openxmlformats.org/officeDocument/2006/customXml" ds:itemID="{BC6179C1-0FFC-4C62-A759-29703398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9826</Words>
  <Characters>56012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Uisung</dc:creator>
  <cp:keywords/>
  <dc:description/>
  <cp:lastModifiedBy>Thompson, Tom (MARAD)</cp:lastModifiedBy>
  <cp:revision>2</cp:revision>
  <cp:lastPrinted>2018-04-11T20:16:00Z</cp:lastPrinted>
  <dcterms:created xsi:type="dcterms:W3CDTF">2019-09-23T15:33:00Z</dcterms:created>
  <dcterms:modified xsi:type="dcterms:W3CDTF">2019-09-23T15:33:00Z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id="rhljQxCx"/&gt;&lt;style id="http://www.zotero.org/styles/applied-energy" hasBibliography="1" bibliographyStyleHasBeenSet="1"/&gt;&lt;prefs&gt;&lt;pref name="fieldType" value="Field"/&gt;&lt;pref name="automaticJournalAb</vt:lpwstr>
  </property>
  <property fmtid="{D5CDD505-2E9C-101B-9397-08002B2CF9AE}" pid="3" name="ZOTERO_PREF_2">
    <vt:lpwstr>breviations" value="true"/&gt;&lt;pref name="delayCitationUpdates" value="true"/&gt;&lt;pref name="dontAskDelayCitationUpdates" value="true"/&gt;&lt;/prefs&gt;&lt;/data&gt;</vt:lpwstr>
  </property>
  <property fmtid="{D5CDD505-2E9C-101B-9397-08002B2CF9AE}" pid="4" name="Mendeley Document_1">
    <vt:lpwstr>True</vt:lpwstr>
  </property>
  <property fmtid="{D5CDD505-2E9C-101B-9397-08002B2CF9AE}" pid="5" name="Mendeley Unique User Id_1">
    <vt:lpwstr>8daf7c67-41d6-3a62-847d-e9ceb479fa2c</vt:lpwstr>
  </property>
  <property fmtid="{D5CDD505-2E9C-101B-9397-08002B2CF9AE}" pid="6" name="Mendeley Citation Style_1">
    <vt:lpwstr>http://www.zotero.org/styles/environmental-research-letters</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http://www.zotero.org/styles/climatic-change</vt:lpwstr>
  </property>
  <property fmtid="{D5CDD505-2E9C-101B-9397-08002B2CF9AE}" pid="20" name="Mendeley Recent Style Name 6_1">
    <vt:lpwstr>Climatic Change</vt:lpwstr>
  </property>
  <property fmtid="{D5CDD505-2E9C-101B-9397-08002B2CF9AE}" pid="21" name="Mendeley Recent Style Id 7_1">
    <vt:lpwstr>http://www.zotero.org/styles/environmental-research-letters</vt:lpwstr>
  </property>
  <property fmtid="{D5CDD505-2E9C-101B-9397-08002B2CF9AE}" pid="22" name="Mendeley Recent Style Name 7_1">
    <vt:lpwstr>Environmental Research Letters</vt:lpwstr>
  </property>
  <property fmtid="{D5CDD505-2E9C-101B-9397-08002B2CF9AE}" pid="23" name="Mendeley Recent Style Id 8_1">
    <vt:lpwstr>http://www.zotero.org/styles/global-change-biology</vt:lpwstr>
  </property>
  <property fmtid="{D5CDD505-2E9C-101B-9397-08002B2CF9AE}" pid="24" name="Mendeley Recent Style Name 8_1">
    <vt:lpwstr>Global Change Biology</vt:lpwstr>
  </property>
  <property fmtid="{D5CDD505-2E9C-101B-9397-08002B2CF9AE}" pid="25" name="Mendeley Recent Style Id 9_1">
    <vt:lpwstr>http://www.zotero.org/styles/ieee</vt:lpwstr>
  </property>
  <property fmtid="{D5CDD505-2E9C-101B-9397-08002B2CF9AE}" pid="26" name="Mendeley Recent Style Name 9_1">
    <vt:lpwstr>IEEE</vt:lpwstr>
  </property>
  <property fmtid="{D5CDD505-2E9C-101B-9397-08002B2CF9AE}" pid="27" name="ContentTypeId">
    <vt:lpwstr>0x0101009B833671BD68A9409251AACB91591249</vt:lpwstr>
  </property>
</Properties>
</file>